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81A2" w14:textId="56D943AD"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72B7C50E" wp14:editId="0F0FB1B6">
            <wp:simplePos x="0" y="0"/>
            <wp:positionH relativeFrom="page">
              <wp:posOffset>0</wp:posOffset>
            </wp:positionH>
            <wp:positionV relativeFrom="page">
              <wp:posOffset>0</wp:posOffset>
            </wp:positionV>
            <wp:extent cx="756983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983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807F4" w14:textId="77777777" w:rsidR="00A62D44" w:rsidRPr="004C6EEE" w:rsidRDefault="00A62D44" w:rsidP="004C6EEE">
      <w:pPr>
        <w:pStyle w:val="Sectionbreakfirstpage"/>
        <w:sectPr w:rsidR="00A62D44" w:rsidRPr="004C6EEE" w:rsidSect="00222A9A">
          <w:footerReference w:type="default" r:id="rId12"/>
          <w:footerReference w:type="first" r:id="rId13"/>
          <w:pgSz w:w="11906" w:h="16838" w:code="9"/>
          <w:pgMar w:top="567" w:right="851" w:bottom="1588" w:left="851" w:header="510" w:footer="510" w:gutter="0"/>
          <w:cols w:space="708"/>
          <w:docGrid w:linePitch="360"/>
        </w:sectPr>
      </w:pPr>
    </w:p>
    <w:tbl>
      <w:tblPr>
        <w:tblW w:w="0" w:type="auto"/>
        <w:tblLook w:val="0600" w:firstRow="0" w:lastRow="0" w:firstColumn="0" w:lastColumn="0" w:noHBand="1" w:noVBand="1"/>
      </w:tblPr>
      <w:tblGrid>
        <w:gridCol w:w="7560"/>
      </w:tblGrid>
      <w:tr w:rsidR="00AD784C" w14:paraId="76D414DD" w14:textId="77777777" w:rsidTr="006A7802">
        <w:trPr>
          <w:trHeight w:val="510"/>
        </w:trPr>
        <w:tc>
          <w:tcPr>
            <w:tcW w:w="7560" w:type="dxa"/>
            <w:shd w:val="clear" w:color="auto" w:fill="auto"/>
            <w:vAlign w:val="bottom"/>
          </w:tcPr>
          <w:p w14:paraId="6B960F41" w14:textId="77777777" w:rsidR="00AD784C" w:rsidRPr="00161AA0" w:rsidRDefault="006A3092" w:rsidP="006A7802">
            <w:pPr>
              <w:pStyle w:val="DHHSmainheading"/>
            </w:pPr>
            <w:r w:rsidRPr="006A3092">
              <w:t xml:space="preserve">Statement on Consumer Engagement in </w:t>
            </w:r>
            <w:r w:rsidR="006A7802">
              <w:t xml:space="preserve">Cancer </w:t>
            </w:r>
            <w:r w:rsidRPr="006A3092">
              <w:t>Research (the Statement)</w:t>
            </w:r>
          </w:p>
        </w:tc>
      </w:tr>
      <w:tr w:rsidR="00AD784C" w14:paraId="1ED5A493" w14:textId="77777777" w:rsidTr="006A7802">
        <w:trPr>
          <w:trHeight w:hRule="exact" w:val="475"/>
        </w:trPr>
        <w:tc>
          <w:tcPr>
            <w:tcW w:w="7560" w:type="dxa"/>
            <w:shd w:val="clear" w:color="auto" w:fill="auto"/>
            <w:tcMar>
              <w:top w:w="170" w:type="dxa"/>
              <w:bottom w:w="510" w:type="dxa"/>
            </w:tcMar>
          </w:tcPr>
          <w:p w14:paraId="413163FC" w14:textId="77777777" w:rsidR="00357B4E" w:rsidRPr="00AD784C" w:rsidRDefault="006A3092" w:rsidP="00357B4E">
            <w:pPr>
              <w:pStyle w:val="DHHSmainsubheading"/>
              <w:rPr>
                <w:szCs w:val="28"/>
              </w:rPr>
            </w:pPr>
            <w:r w:rsidRPr="006A3092">
              <w:t>Victorian Cancer Agency</w:t>
            </w:r>
            <w:r w:rsidR="00A30754">
              <w:t xml:space="preserve"> </w:t>
            </w:r>
          </w:p>
        </w:tc>
      </w:tr>
    </w:tbl>
    <w:p w14:paraId="05174FB5" w14:textId="77777777" w:rsidR="006A7802" w:rsidRDefault="006A7802" w:rsidP="006A7802">
      <w:pPr>
        <w:spacing w:before="120" w:after="120" w:line="270" w:lineRule="atLeast"/>
        <w:rPr>
          <w:rFonts w:ascii="Arial" w:eastAsia="Times" w:hAnsi="Arial"/>
        </w:rPr>
      </w:pPr>
      <w:r w:rsidRPr="00BC410E">
        <w:rPr>
          <w:rFonts w:ascii="Arial" w:eastAsia="Times" w:hAnsi="Arial"/>
        </w:rPr>
        <w:t xml:space="preserve">This Statement has been developed </w:t>
      </w:r>
      <w:r>
        <w:rPr>
          <w:rFonts w:ascii="Arial" w:eastAsia="Times" w:hAnsi="Arial"/>
        </w:rPr>
        <w:t>to</w:t>
      </w:r>
      <w:r w:rsidRPr="00BC410E">
        <w:rPr>
          <w:rFonts w:ascii="Arial" w:eastAsia="Times" w:hAnsi="Arial"/>
        </w:rPr>
        <w:t xml:space="preserve"> support the implementation of best practice consumer and community engagement in </w:t>
      </w:r>
      <w:r w:rsidRPr="662780BC">
        <w:rPr>
          <w:rFonts w:ascii="Arial" w:eastAsia="Times" w:hAnsi="Arial"/>
        </w:rPr>
        <w:t>research funded by the</w:t>
      </w:r>
      <w:r w:rsidRPr="00BC410E">
        <w:rPr>
          <w:rFonts w:ascii="Arial" w:eastAsia="Times" w:hAnsi="Arial"/>
        </w:rPr>
        <w:t xml:space="preserve"> Victorian Cancer Agency (VCA). </w:t>
      </w:r>
      <w:r>
        <w:rPr>
          <w:rFonts w:ascii="Arial" w:eastAsia="Times" w:hAnsi="Arial"/>
        </w:rPr>
        <w:t xml:space="preserve">The </w:t>
      </w:r>
      <w:r w:rsidRPr="00BC410E">
        <w:rPr>
          <w:rFonts w:ascii="Arial" w:eastAsia="Times" w:hAnsi="Arial"/>
        </w:rPr>
        <w:t xml:space="preserve">VCA is committed to building sustainable long-term capacity and understanding of the wider Victorian cancer research sector in engaging consumers and the community in research. </w:t>
      </w:r>
      <w:r>
        <w:rPr>
          <w:rFonts w:ascii="Arial" w:eastAsia="Times" w:hAnsi="Arial"/>
        </w:rPr>
        <w:t>In developing this statement, t</w:t>
      </w:r>
      <w:r w:rsidRPr="008407C7">
        <w:rPr>
          <w:rFonts w:ascii="Arial" w:eastAsia="Times" w:hAnsi="Arial"/>
        </w:rPr>
        <w:t xml:space="preserve">he VCA has consolidated feedback, views, and insights collected over multiple years from people with a lived experience of cancer who have participated in the assessment of VCA funded research. </w:t>
      </w:r>
    </w:p>
    <w:p w14:paraId="6A597DFC" w14:textId="7090F37A" w:rsidR="006A7802" w:rsidRDefault="006A7802" w:rsidP="006A7802">
      <w:pPr>
        <w:spacing w:after="120" w:line="270" w:lineRule="atLeast"/>
        <w:rPr>
          <w:rFonts w:ascii="Arial" w:eastAsia="Times" w:hAnsi="Arial"/>
        </w:rPr>
      </w:pPr>
      <w:r w:rsidRPr="4252E20C">
        <w:rPr>
          <w:rFonts w:ascii="Arial" w:eastAsia="Times" w:hAnsi="Arial"/>
        </w:rPr>
        <w:t xml:space="preserve">We wish to express our gratitude and thanks to the many individuals who have contributed to the VCA Funding Round Consumer Evaluation Panels. Their contributions have helped distil best practice consumer and community engagement in research, that will improve outcomes for people diagnosed with cancer, their </w:t>
      </w:r>
      <w:proofErr w:type="gramStart"/>
      <w:r w:rsidRPr="4252E20C">
        <w:rPr>
          <w:rFonts w:ascii="Arial" w:eastAsia="Times" w:hAnsi="Arial"/>
        </w:rPr>
        <w:t>families</w:t>
      </w:r>
      <w:proofErr w:type="gramEnd"/>
      <w:r w:rsidRPr="4252E20C">
        <w:rPr>
          <w:rFonts w:ascii="Arial" w:eastAsia="Times" w:hAnsi="Arial"/>
        </w:rPr>
        <w:t xml:space="preserve"> and carers, into the future. We learn from you every year and look forward to championing the benefits of consumer and community engagement in all aspects of cancer research.</w:t>
      </w:r>
    </w:p>
    <w:p w14:paraId="06432556" w14:textId="77777777" w:rsidR="006A7802" w:rsidRPr="00FF7431" w:rsidRDefault="006A7802" w:rsidP="006A7802">
      <w:pPr>
        <w:pStyle w:val="Heading2"/>
        <w:rPr>
          <w:rFonts w:eastAsia="Times"/>
        </w:rPr>
      </w:pPr>
      <w:r w:rsidRPr="00FF7431">
        <w:rPr>
          <w:rFonts w:eastAsia="Times"/>
        </w:rPr>
        <w:t>Benefits of consumer and community engagement in research</w:t>
      </w:r>
    </w:p>
    <w:p w14:paraId="58FC0039" w14:textId="77777777" w:rsidR="006A7802" w:rsidRDefault="006A7802" w:rsidP="006A7802">
      <w:pPr>
        <w:spacing w:after="120" w:line="270" w:lineRule="atLeast"/>
        <w:rPr>
          <w:rFonts w:ascii="Arial" w:eastAsia="Times" w:hAnsi="Arial"/>
        </w:rPr>
      </w:pPr>
      <w:r w:rsidRPr="00BC410E">
        <w:rPr>
          <w:rFonts w:ascii="Arial" w:eastAsia="Times" w:hAnsi="Arial"/>
        </w:rPr>
        <w:t xml:space="preserve">VCA considers consumer and community engagement </w:t>
      </w:r>
      <w:r>
        <w:rPr>
          <w:rFonts w:ascii="Arial" w:eastAsia="Times" w:hAnsi="Arial"/>
        </w:rPr>
        <w:t>integral</w:t>
      </w:r>
      <w:r w:rsidRPr="00BC410E">
        <w:rPr>
          <w:rFonts w:ascii="Arial" w:eastAsia="Times" w:hAnsi="Arial"/>
        </w:rPr>
        <w:t xml:space="preserve"> </w:t>
      </w:r>
      <w:r>
        <w:rPr>
          <w:rFonts w:ascii="Arial" w:eastAsia="Times" w:hAnsi="Arial"/>
        </w:rPr>
        <w:t>to cancer</w:t>
      </w:r>
      <w:r w:rsidRPr="00BC410E">
        <w:rPr>
          <w:rFonts w:ascii="Arial" w:eastAsia="Times" w:hAnsi="Arial"/>
        </w:rPr>
        <w:t xml:space="preserve"> research</w:t>
      </w:r>
      <w:r>
        <w:rPr>
          <w:rFonts w:ascii="Arial" w:eastAsia="Times" w:hAnsi="Arial"/>
        </w:rPr>
        <w:t xml:space="preserve">. This Statement provides practical guidance for </w:t>
      </w:r>
      <w:r w:rsidRPr="00BC410E">
        <w:rPr>
          <w:rFonts w:ascii="Arial" w:eastAsia="Times" w:hAnsi="Arial"/>
        </w:rPr>
        <w:t xml:space="preserve">researchers </w:t>
      </w:r>
      <w:r>
        <w:rPr>
          <w:rFonts w:ascii="Arial" w:eastAsia="Times" w:hAnsi="Arial"/>
        </w:rPr>
        <w:t>to</w:t>
      </w:r>
      <w:r w:rsidRPr="00BC410E">
        <w:rPr>
          <w:rFonts w:ascii="Arial" w:eastAsia="Times" w:hAnsi="Arial"/>
        </w:rPr>
        <w:t xml:space="preserve"> </w:t>
      </w:r>
      <w:proofErr w:type="gramStart"/>
      <w:r w:rsidRPr="00BC410E">
        <w:rPr>
          <w:rFonts w:ascii="Arial" w:eastAsia="Times" w:hAnsi="Arial"/>
        </w:rPr>
        <w:t>actively and authentically engage consumers and the community</w:t>
      </w:r>
      <w:proofErr w:type="gramEnd"/>
      <w:r w:rsidRPr="00BC410E">
        <w:rPr>
          <w:rFonts w:ascii="Arial" w:eastAsia="Times" w:hAnsi="Arial"/>
        </w:rPr>
        <w:t xml:space="preserve"> in their proposed research.</w:t>
      </w:r>
      <w:r>
        <w:rPr>
          <w:rFonts w:ascii="Arial" w:eastAsia="Times" w:hAnsi="Arial"/>
        </w:rPr>
        <w:t xml:space="preserve"> </w:t>
      </w:r>
      <w:r w:rsidRPr="39A2A7EF">
        <w:rPr>
          <w:rFonts w:ascii="Arial" w:eastAsia="Times" w:hAnsi="Arial"/>
        </w:rPr>
        <w:t>Those affected by research have a right to be involved in research</w:t>
      </w:r>
      <w:r w:rsidRPr="39A2A7EF">
        <w:rPr>
          <w:rStyle w:val="FootnoteReference"/>
          <w:rFonts w:eastAsia="Times"/>
        </w:rPr>
        <w:footnoteReference w:id="2"/>
      </w:r>
      <w:r>
        <w:rPr>
          <w:rFonts w:ascii="Arial" w:eastAsia="Times" w:hAnsi="Arial"/>
        </w:rPr>
        <w:t>, particularly where research is publicly funded</w:t>
      </w:r>
      <w:r w:rsidRPr="39A2A7EF">
        <w:rPr>
          <w:rFonts w:ascii="Arial" w:eastAsia="Times" w:hAnsi="Arial"/>
        </w:rPr>
        <w:t xml:space="preserve">. Their input should be included </w:t>
      </w:r>
      <w:r>
        <w:rPr>
          <w:rFonts w:ascii="Arial" w:eastAsia="Times" w:hAnsi="Arial"/>
        </w:rPr>
        <w:t>throughout all</w:t>
      </w:r>
      <w:r w:rsidRPr="39A2A7EF">
        <w:rPr>
          <w:rFonts w:ascii="Arial" w:eastAsia="Times" w:hAnsi="Arial"/>
        </w:rPr>
        <w:t xml:space="preserve"> stages </w:t>
      </w:r>
      <w:r>
        <w:rPr>
          <w:rFonts w:ascii="Arial" w:eastAsia="Times" w:hAnsi="Arial"/>
        </w:rPr>
        <w:t xml:space="preserve">and types </w:t>
      </w:r>
      <w:r w:rsidRPr="39A2A7EF">
        <w:rPr>
          <w:rFonts w:ascii="Arial" w:eastAsia="Times" w:hAnsi="Arial"/>
        </w:rPr>
        <w:t>of research.</w:t>
      </w:r>
      <w:r>
        <w:rPr>
          <w:rFonts w:ascii="Arial" w:eastAsia="Times" w:hAnsi="Arial"/>
        </w:rPr>
        <w:t xml:space="preserve"> </w:t>
      </w:r>
    </w:p>
    <w:p w14:paraId="662D7EA9" w14:textId="77777777" w:rsidR="00DE0A58" w:rsidRDefault="00F76FEE" w:rsidP="006A7802">
      <w:pPr>
        <w:spacing w:after="120" w:line="270" w:lineRule="atLeast"/>
        <w:rPr>
          <w:rFonts w:ascii="Arial" w:eastAsia="Times" w:hAnsi="Arial"/>
        </w:rPr>
      </w:pPr>
      <w:r>
        <w:rPr>
          <w:rFonts w:ascii="Arial" w:eastAsia="Times" w:hAnsi="Arial"/>
        </w:rPr>
        <w:t xml:space="preserve">Incorporating the </w:t>
      </w:r>
      <w:r w:rsidR="006A7802">
        <w:rPr>
          <w:rFonts w:ascii="Arial" w:eastAsia="Times" w:hAnsi="Arial"/>
        </w:rPr>
        <w:t>lived experience</w:t>
      </w:r>
      <w:r w:rsidR="006A7802" w:rsidRPr="00BC410E">
        <w:rPr>
          <w:rFonts w:ascii="Arial" w:eastAsia="Times" w:hAnsi="Arial"/>
        </w:rPr>
        <w:t xml:space="preserve"> </w:t>
      </w:r>
      <w:r>
        <w:rPr>
          <w:rFonts w:ascii="Arial" w:eastAsia="Times" w:hAnsi="Arial"/>
        </w:rPr>
        <w:t xml:space="preserve">of </w:t>
      </w:r>
      <w:r w:rsidR="00232942">
        <w:rPr>
          <w:rFonts w:ascii="Arial" w:eastAsia="Times" w:hAnsi="Arial"/>
        </w:rPr>
        <w:t>consumers</w:t>
      </w:r>
      <w:r w:rsidR="006A7802" w:rsidRPr="00BC410E">
        <w:rPr>
          <w:rFonts w:ascii="Arial" w:eastAsia="Times" w:hAnsi="Arial"/>
        </w:rPr>
        <w:t xml:space="preserve"> improves the likelihood of achieving the goals and objectives of proposed research, including the impact and broader relevance of the research to consumers and the community. As noted on the Cancer Australia website, </w:t>
      </w:r>
      <w:r w:rsidR="006A7802" w:rsidRPr="00DF3993">
        <w:rPr>
          <w:rFonts w:ascii="Arial" w:eastAsia="Times" w:hAnsi="Arial"/>
        </w:rPr>
        <w:t>“Evidence suggests that involving consumers leads to improved health outcomes, improved safety, a more trusted health system and a more satisfied workforce”</w:t>
      </w:r>
      <w:r w:rsidR="006A7802" w:rsidRPr="00BC410E">
        <w:rPr>
          <w:rFonts w:ascii="Arial" w:eastAsia="Times" w:hAnsi="Arial"/>
        </w:rPr>
        <w:t>.</w:t>
      </w:r>
      <w:r w:rsidR="006A7802" w:rsidRPr="00DF3993">
        <w:rPr>
          <w:rFonts w:ascii="Arial" w:eastAsia="Times" w:hAnsi="Arial"/>
          <w:vertAlign w:val="superscript"/>
        </w:rPr>
        <w:footnoteReference w:id="3"/>
      </w:r>
      <w:r w:rsidR="006A7802" w:rsidRPr="00BC410E">
        <w:rPr>
          <w:rFonts w:ascii="Arial" w:eastAsia="Times" w:hAnsi="Arial"/>
        </w:rPr>
        <w:t> </w:t>
      </w:r>
    </w:p>
    <w:p w14:paraId="5743B2B9" w14:textId="77777777" w:rsidR="00DE0A58" w:rsidRPr="001D3BDA" w:rsidRDefault="00DE0A58" w:rsidP="003D72F9">
      <w:pPr>
        <w:pStyle w:val="IntenseQuote"/>
        <w:spacing w:after="60"/>
        <w:rPr>
          <w:rFonts w:eastAsia="Times"/>
          <w:b/>
          <w:bCs/>
        </w:rPr>
      </w:pPr>
      <w:r w:rsidRPr="001D3BDA">
        <w:rPr>
          <w:rFonts w:eastAsia="Times"/>
          <w:b/>
          <w:bCs/>
        </w:rPr>
        <w:t xml:space="preserve">Consumers and carers affected by cancer offer a unique perspective about research that is different to that of the researchers. This perspective is based on their lived experience of cancer and will be useful if it is to be incorporated in each one of the stages of the research cycle. Consumers and carers perspectives should also be included in the ideation stages of research and the formulation of research questions. </w:t>
      </w:r>
    </w:p>
    <w:p w14:paraId="56A17C72" w14:textId="7B1D2A20" w:rsidR="006A7802" w:rsidRDefault="00DE0A58" w:rsidP="003D72F9">
      <w:pPr>
        <w:spacing w:after="60"/>
        <w:jc w:val="center"/>
        <w:rPr>
          <w:rFonts w:asciiTheme="majorHAnsi" w:eastAsia="Times" w:hAnsiTheme="majorHAnsi"/>
          <w:i/>
          <w:iCs/>
          <w:color w:val="1F497D" w:themeColor="text2"/>
          <w:sz w:val="18"/>
          <w:szCs w:val="18"/>
        </w:rPr>
      </w:pPr>
      <w:r w:rsidRPr="00183C73">
        <w:rPr>
          <w:rFonts w:asciiTheme="majorHAnsi" w:eastAsia="Times" w:hAnsiTheme="majorHAnsi"/>
          <w:i/>
          <w:iCs/>
          <w:color w:val="1F497D" w:themeColor="text2"/>
          <w:sz w:val="18"/>
          <w:szCs w:val="18"/>
        </w:rPr>
        <w:t xml:space="preserve">Manager of Training and Development Health Issues Centre and VCA Consumer Evaluation Panel Chair, </w:t>
      </w:r>
      <w:r w:rsidR="00C520BC" w:rsidRPr="00183C73">
        <w:rPr>
          <w:rFonts w:asciiTheme="majorHAnsi" w:eastAsia="Times" w:hAnsiTheme="majorHAnsi"/>
          <w:i/>
          <w:iCs/>
          <w:color w:val="1F497D" w:themeColor="text2"/>
          <w:sz w:val="18"/>
          <w:szCs w:val="18"/>
        </w:rPr>
        <w:t>Dr</w:t>
      </w:r>
      <w:r w:rsidR="00BE348F" w:rsidRPr="00183C73">
        <w:rPr>
          <w:rFonts w:asciiTheme="majorHAnsi" w:eastAsia="Times" w:hAnsiTheme="majorHAnsi"/>
          <w:i/>
          <w:iCs/>
          <w:color w:val="1F497D" w:themeColor="text2"/>
          <w:sz w:val="18"/>
          <w:szCs w:val="18"/>
        </w:rPr>
        <w:t xml:space="preserve"> </w:t>
      </w:r>
      <w:r w:rsidRPr="00183C73">
        <w:rPr>
          <w:rFonts w:asciiTheme="majorHAnsi" w:eastAsia="Times" w:hAnsiTheme="majorHAnsi"/>
          <w:i/>
          <w:iCs/>
          <w:color w:val="1F497D" w:themeColor="text2"/>
          <w:sz w:val="18"/>
          <w:szCs w:val="18"/>
        </w:rPr>
        <w:t>Tere Dawson.</w:t>
      </w:r>
    </w:p>
    <w:p w14:paraId="1E371DF9" w14:textId="77777777" w:rsidR="003D72F9" w:rsidRPr="003D72F9" w:rsidRDefault="003D72F9" w:rsidP="008F30AA">
      <w:pPr>
        <w:jc w:val="center"/>
        <w:rPr>
          <w:rFonts w:asciiTheme="majorHAnsi" w:eastAsia="Times" w:hAnsiTheme="majorHAnsi"/>
          <w:i/>
          <w:iCs/>
          <w:color w:val="1F497D" w:themeColor="text2"/>
          <w:sz w:val="18"/>
          <w:szCs w:val="18"/>
        </w:rPr>
      </w:pPr>
    </w:p>
    <w:p w14:paraId="0C301748" w14:textId="38BE8199" w:rsidR="006A7802" w:rsidRPr="00BC410E" w:rsidRDefault="006A7802" w:rsidP="006A7802">
      <w:pPr>
        <w:spacing w:after="120" w:line="270" w:lineRule="atLeast"/>
        <w:rPr>
          <w:rFonts w:ascii="Arial" w:eastAsia="Times" w:hAnsi="Arial"/>
        </w:rPr>
      </w:pPr>
      <w:r>
        <w:rPr>
          <w:rFonts w:ascii="Arial" w:eastAsia="Times" w:hAnsi="Arial"/>
        </w:rPr>
        <w:t>Embedding the unique personal experience of</w:t>
      </w:r>
      <w:r w:rsidRPr="00BC410E">
        <w:rPr>
          <w:rFonts w:ascii="Arial" w:eastAsia="Times" w:hAnsi="Arial"/>
        </w:rPr>
        <w:t> </w:t>
      </w:r>
      <w:r>
        <w:rPr>
          <w:rFonts w:ascii="Arial" w:eastAsia="Times" w:hAnsi="Arial"/>
        </w:rPr>
        <w:t>people with a lived experience</w:t>
      </w:r>
      <w:r w:rsidRPr="00BC410E">
        <w:rPr>
          <w:rFonts w:ascii="Arial" w:eastAsia="Times" w:hAnsi="Arial"/>
        </w:rPr>
        <w:t xml:space="preserve"> </w:t>
      </w:r>
      <w:r w:rsidR="00F76FEE">
        <w:rPr>
          <w:rFonts w:ascii="Arial" w:eastAsia="Times" w:hAnsi="Arial"/>
        </w:rPr>
        <w:t xml:space="preserve">in research </w:t>
      </w:r>
      <w:r>
        <w:rPr>
          <w:rFonts w:ascii="Arial" w:eastAsia="Times" w:hAnsi="Arial"/>
        </w:rPr>
        <w:t>will directly benefit outcomes in</w:t>
      </w:r>
      <w:r w:rsidRPr="00BC410E">
        <w:rPr>
          <w:rFonts w:ascii="Arial" w:eastAsia="Times" w:hAnsi="Arial"/>
        </w:rPr>
        <w:t xml:space="preserve"> health and medical research</w:t>
      </w:r>
      <w:r>
        <w:rPr>
          <w:rFonts w:ascii="Arial" w:eastAsia="Times" w:hAnsi="Arial"/>
        </w:rPr>
        <w:t>.</w:t>
      </w:r>
      <w:r w:rsidRPr="00BC410E">
        <w:rPr>
          <w:rFonts w:ascii="Arial" w:eastAsia="Times" w:hAnsi="Arial"/>
        </w:rPr>
        <w:t xml:space="preserve"> </w:t>
      </w:r>
      <w:r>
        <w:rPr>
          <w:rFonts w:ascii="Arial" w:eastAsia="Times" w:hAnsi="Arial"/>
        </w:rPr>
        <w:t>It</w:t>
      </w:r>
      <w:r w:rsidRPr="00BC410E">
        <w:rPr>
          <w:rFonts w:ascii="Arial" w:eastAsia="Times" w:hAnsi="Arial"/>
        </w:rPr>
        <w:t xml:space="preserve"> is </w:t>
      </w:r>
      <w:r>
        <w:rPr>
          <w:rFonts w:ascii="Arial" w:eastAsia="Times" w:hAnsi="Arial"/>
        </w:rPr>
        <w:t>therefore crucial</w:t>
      </w:r>
      <w:r w:rsidRPr="00BC410E">
        <w:rPr>
          <w:rFonts w:ascii="Arial" w:eastAsia="Times" w:hAnsi="Arial"/>
        </w:rPr>
        <w:t xml:space="preserve"> </w:t>
      </w:r>
      <w:r>
        <w:rPr>
          <w:rFonts w:ascii="Arial" w:eastAsia="Times" w:hAnsi="Arial"/>
        </w:rPr>
        <w:t>that research</w:t>
      </w:r>
      <w:r w:rsidRPr="00BC410E">
        <w:rPr>
          <w:rFonts w:ascii="Arial" w:eastAsia="Times" w:hAnsi="Arial"/>
        </w:rPr>
        <w:t xml:space="preserve"> funded by</w:t>
      </w:r>
      <w:r>
        <w:rPr>
          <w:rFonts w:ascii="Arial" w:eastAsia="Times" w:hAnsi="Arial"/>
        </w:rPr>
        <w:t xml:space="preserve"> the Victorian Government through VCA involves meaningful ‘</w:t>
      </w:r>
      <w:r w:rsidR="00D11EA9">
        <w:rPr>
          <w:rFonts w:ascii="Arial" w:eastAsia="Times" w:hAnsi="Arial"/>
        </w:rPr>
        <w:t>two</w:t>
      </w:r>
      <w:r>
        <w:rPr>
          <w:rFonts w:ascii="Arial" w:eastAsia="Times" w:hAnsi="Arial"/>
        </w:rPr>
        <w:t>-way’ consumer engagement.</w:t>
      </w:r>
      <w:r w:rsidRPr="00BC410E">
        <w:rPr>
          <w:rFonts w:ascii="Arial" w:eastAsia="Times" w:hAnsi="Arial"/>
        </w:rPr>
        <w:t xml:space="preserve"> </w:t>
      </w:r>
    </w:p>
    <w:p w14:paraId="694CB659" w14:textId="5199F123" w:rsidR="009D4A9D" w:rsidRPr="00BC410E" w:rsidRDefault="006A7802" w:rsidP="009D4A9D">
      <w:pPr>
        <w:spacing w:after="120" w:line="270" w:lineRule="atLeast"/>
        <w:rPr>
          <w:rFonts w:ascii="Arial" w:eastAsia="Times" w:hAnsi="Arial"/>
        </w:rPr>
      </w:pPr>
      <w:r w:rsidRPr="00BC410E">
        <w:rPr>
          <w:rFonts w:ascii="Arial" w:eastAsia="Times" w:hAnsi="Arial"/>
        </w:rPr>
        <w:t xml:space="preserve">A “consumer” is any person who is or has been </w:t>
      </w:r>
      <w:r>
        <w:rPr>
          <w:rFonts w:ascii="Arial" w:eastAsia="Times" w:hAnsi="Arial"/>
        </w:rPr>
        <w:t xml:space="preserve">personally </w:t>
      </w:r>
      <w:r w:rsidRPr="662780BC">
        <w:rPr>
          <w:rFonts w:ascii="Arial" w:eastAsia="Times" w:hAnsi="Arial"/>
        </w:rPr>
        <w:t>impacted</w:t>
      </w:r>
      <w:r w:rsidRPr="00BC410E">
        <w:rPr>
          <w:rFonts w:ascii="Arial" w:eastAsia="Times" w:hAnsi="Arial"/>
        </w:rPr>
        <w:t xml:space="preserve"> by cancer</w:t>
      </w:r>
      <w:r>
        <w:rPr>
          <w:rFonts w:ascii="Arial" w:eastAsia="Times" w:hAnsi="Arial"/>
        </w:rPr>
        <w:t>, also known as “lived experience”, t</w:t>
      </w:r>
      <w:r w:rsidRPr="662780BC">
        <w:rPr>
          <w:rFonts w:ascii="Arial" w:eastAsia="Times" w:hAnsi="Arial"/>
        </w:rPr>
        <w:t>his</w:t>
      </w:r>
      <w:r w:rsidRPr="00BC410E">
        <w:rPr>
          <w:rFonts w:ascii="Arial" w:eastAsia="Times" w:hAnsi="Arial"/>
        </w:rPr>
        <w:t xml:space="preserve"> could</w:t>
      </w:r>
      <w:r w:rsidRPr="00BC410E" w:rsidDel="00AA3B60">
        <w:rPr>
          <w:rFonts w:ascii="Arial" w:eastAsia="Times" w:hAnsi="Arial"/>
        </w:rPr>
        <w:t xml:space="preserve"> </w:t>
      </w:r>
      <w:r>
        <w:rPr>
          <w:rFonts w:ascii="Arial" w:eastAsia="Times" w:hAnsi="Arial"/>
        </w:rPr>
        <w:t>include</w:t>
      </w:r>
      <w:r w:rsidRPr="00BC410E">
        <w:rPr>
          <w:rFonts w:ascii="Arial" w:eastAsia="Times" w:hAnsi="Arial"/>
        </w:rPr>
        <w:t xml:space="preserve"> a person diagnosed with cancer or a carer/family member</w:t>
      </w:r>
      <w:r>
        <w:rPr>
          <w:rFonts w:ascii="Arial" w:eastAsia="Times" w:hAnsi="Arial"/>
        </w:rPr>
        <w:t xml:space="preserve"> of a person diagnosed with cancer</w:t>
      </w:r>
      <w:r w:rsidRPr="00BC410E">
        <w:rPr>
          <w:rFonts w:ascii="Arial" w:eastAsia="Times" w:hAnsi="Arial"/>
        </w:rPr>
        <w:t>.</w:t>
      </w:r>
    </w:p>
    <w:p w14:paraId="3EFC6EFD" w14:textId="77777777" w:rsidR="009D4A9D" w:rsidRDefault="009D4A9D" w:rsidP="008F30AA">
      <w:pPr>
        <w:pStyle w:val="IntenseQuote"/>
        <w:spacing w:after="0"/>
        <w:rPr>
          <w:rFonts w:eastAsia="Times"/>
          <w:b/>
          <w:bCs/>
        </w:rPr>
      </w:pPr>
      <w:r w:rsidRPr="000C47DD">
        <w:rPr>
          <w:rFonts w:eastAsia="Times"/>
          <w:b/>
          <w:bCs/>
        </w:rPr>
        <w:lastRenderedPageBreak/>
        <w:t>“My involvement as a consumer representative on a VCA Early Career Research Fellowship and VCA Consumer Evaluation Panels has given me the opportunity to contribute my lived experiences to cancer research in a meaningful way. It’s been rewarding to not only be able to influence projects but also see great research progress.”</w:t>
      </w:r>
    </w:p>
    <w:p w14:paraId="74A9A099" w14:textId="38E8F32C" w:rsidR="00EF675B" w:rsidRDefault="00814ECD" w:rsidP="008F30AA">
      <w:pPr>
        <w:spacing w:line="270" w:lineRule="atLeast"/>
        <w:jc w:val="center"/>
        <w:rPr>
          <w:rFonts w:ascii="Arial" w:eastAsia="Times" w:hAnsi="Arial"/>
          <w:i/>
          <w:iCs/>
          <w:color w:val="1F497D" w:themeColor="text2"/>
          <w:sz w:val="18"/>
          <w:szCs w:val="18"/>
        </w:rPr>
      </w:pPr>
      <w:r w:rsidRPr="00BE348F">
        <w:rPr>
          <w:rFonts w:ascii="Arial" w:eastAsia="Times" w:hAnsi="Arial"/>
          <w:i/>
          <w:iCs/>
          <w:color w:val="1F497D" w:themeColor="text2"/>
          <w:sz w:val="18"/>
          <w:szCs w:val="18"/>
        </w:rPr>
        <w:t>VCA Consumer Evaluation Panel member,</w:t>
      </w:r>
      <w:r w:rsidR="00B62647" w:rsidRPr="00BE348F">
        <w:rPr>
          <w:rFonts w:ascii="Arial" w:eastAsia="Times" w:hAnsi="Arial"/>
          <w:i/>
          <w:iCs/>
          <w:color w:val="1F497D" w:themeColor="text2"/>
          <w:sz w:val="18"/>
          <w:szCs w:val="18"/>
        </w:rPr>
        <w:t xml:space="preserve"> Mr</w:t>
      </w:r>
      <w:r w:rsidRPr="00BE348F">
        <w:rPr>
          <w:rFonts w:ascii="Arial" w:eastAsia="Times" w:hAnsi="Arial"/>
          <w:i/>
          <w:iCs/>
          <w:color w:val="1F497D" w:themeColor="text2"/>
          <w:sz w:val="18"/>
          <w:szCs w:val="18"/>
        </w:rPr>
        <w:t xml:space="preserve"> George Kiossoglou.</w:t>
      </w:r>
    </w:p>
    <w:p w14:paraId="48E64421" w14:textId="77777777" w:rsidR="00BE348F" w:rsidRPr="00BE348F" w:rsidRDefault="00BE348F" w:rsidP="00BE348F">
      <w:pPr>
        <w:spacing w:after="120" w:line="270" w:lineRule="atLeast"/>
        <w:rPr>
          <w:rFonts w:ascii="Arial" w:eastAsia="Times" w:hAnsi="Arial"/>
          <w:i/>
          <w:iCs/>
          <w:color w:val="1F497D" w:themeColor="text2"/>
          <w:sz w:val="18"/>
          <w:szCs w:val="18"/>
        </w:rPr>
      </w:pPr>
    </w:p>
    <w:p w14:paraId="295D8305" w14:textId="782D15C8" w:rsidR="006A7802" w:rsidRPr="00B10D16" w:rsidRDefault="006A7802" w:rsidP="006A7802">
      <w:pPr>
        <w:spacing w:line="270" w:lineRule="atLeast"/>
        <w:rPr>
          <w:rFonts w:ascii="Arial" w:eastAsia="Times" w:hAnsi="Arial"/>
        </w:rPr>
      </w:pPr>
      <w:r w:rsidRPr="00B10D16">
        <w:rPr>
          <w:rFonts w:ascii="Arial" w:eastAsia="Times" w:hAnsi="Arial"/>
        </w:rPr>
        <w:t>“Community” refers to a group of people sharing a common interest (e.g., cultural, social, political,</w:t>
      </w:r>
    </w:p>
    <w:p w14:paraId="149588C3" w14:textId="6909899B" w:rsidR="00C31950" w:rsidRDefault="006A7802" w:rsidP="006A7802">
      <w:pPr>
        <w:spacing w:after="120" w:line="270" w:lineRule="atLeast"/>
        <w:rPr>
          <w:rFonts w:ascii="Arial" w:eastAsia="Times" w:hAnsi="Arial"/>
        </w:rPr>
      </w:pPr>
      <w:r w:rsidRPr="00B10D16">
        <w:rPr>
          <w:rFonts w:ascii="Arial" w:eastAsia="Times" w:hAnsi="Arial"/>
        </w:rPr>
        <w:t>health or economic interests), but not necessarily a particular geographic association.</w:t>
      </w:r>
      <w:r>
        <w:rPr>
          <w:rStyle w:val="FootnoteReference"/>
          <w:rFonts w:eastAsia="Times"/>
        </w:rPr>
        <w:footnoteReference w:id="4"/>
      </w:r>
      <w:r>
        <w:rPr>
          <w:rFonts w:ascii="Arial" w:eastAsia="Times" w:hAnsi="Arial"/>
        </w:rPr>
        <w:t xml:space="preserve"> In the context of health research this could </w:t>
      </w:r>
      <w:r w:rsidR="00DB3026">
        <w:rPr>
          <w:rFonts w:ascii="Arial" w:eastAsia="Times" w:hAnsi="Arial"/>
        </w:rPr>
        <w:t xml:space="preserve">also </w:t>
      </w:r>
      <w:r>
        <w:rPr>
          <w:rFonts w:ascii="Arial" w:eastAsia="Times" w:hAnsi="Arial"/>
        </w:rPr>
        <w:t xml:space="preserve">include community organisations, </w:t>
      </w:r>
      <w:proofErr w:type="gramStart"/>
      <w:r>
        <w:rPr>
          <w:rFonts w:ascii="Arial" w:eastAsia="Times" w:hAnsi="Arial"/>
        </w:rPr>
        <w:t>networks</w:t>
      </w:r>
      <w:proofErr w:type="gramEnd"/>
      <w:r>
        <w:rPr>
          <w:rFonts w:ascii="Arial" w:eastAsia="Times" w:hAnsi="Arial"/>
        </w:rPr>
        <w:t xml:space="preserve"> and support groups.</w:t>
      </w:r>
      <w:r w:rsidR="00AC00DD">
        <w:rPr>
          <w:rFonts w:ascii="Arial" w:eastAsia="Times" w:hAnsi="Arial"/>
        </w:rPr>
        <w:t xml:space="preserve"> </w:t>
      </w:r>
    </w:p>
    <w:p w14:paraId="0D055F12" w14:textId="3DE8F8FD" w:rsidR="00222A0A" w:rsidRDefault="00005248" w:rsidP="006A7802">
      <w:pPr>
        <w:spacing w:after="120" w:line="270" w:lineRule="atLeast"/>
        <w:rPr>
          <w:rFonts w:ascii="Arial" w:eastAsia="Times" w:hAnsi="Arial"/>
        </w:rPr>
      </w:pPr>
      <w:r w:rsidRPr="00005248">
        <w:rPr>
          <w:rFonts w:ascii="Arial" w:eastAsia="Times" w:hAnsi="Arial"/>
        </w:rPr>
        <w:t xml:space="preserve">Collaboration between researchers and consumers is a partnership that is mutually beneficial. Researchers who engage consumers meaningfully in their research often report a rewarding connection with their consumers and a positive impact on their research. </w:t>
      </w:r>
    </w:p>
    <w:p w14:paraId="443ECCB4" w14:textId="77777777" w:rsidR="00694CEA" w:rsidRPr="00662C26" w:rsidRDefault="00694CEA" w:rsidP="008F30AA">
      <w:pPr>
        <w:pStyle w:val="IntenseQuote"/>
        <w:spacing w:after="0"/>
        <w:rPr>
          <w:rFonts w:eastAsia="Times"/>
          <w:b/>
          <w:bCs/>
        </w:rPr>
      </w:pPr>
      <w:r w:rsidRPr="006A7802">
        <w:rPr>
          <w:rFonts w:eastAsia="Times"/>
          <w:b/>
          <w:bCs/>
        </w:rPr>
        <w:t xml:space="preserve">“I was not initially convinced that consumer and community involvement would significantly benefit my research and only began the process </w:t>
      </w:r>
      <w:proofErr w:type="gramStart"/>
      <w:r w:rsidRPr="006A7802">
        <w:rPr>
          <w:rFonts w:eastAsia="Times"/>
          <w:b/>
          <w:bCs/>
        </w:rPr>
        <w:t>in order to</w:t>
      </w:r>
      <w:proofErr w:type="gramEnd"/>
      <w:r w:rsidRPr="006A7802">
        <w:rPr>
          <w:rFonts w:eastAsia="Times"/>
          <w:b/>
          <w:bCs/>
        </w:rPr>
        <w:t xml:space="preserve"> meet with VCA requirements for the fellowship scheme. </w:t>
      </w:r>
      <w:r>
        <w:rPr>
          <w:rFonts w:eastAsia="Times"/>
          <w:b/>
          <w:bCs/>
        </w:rPr>
        <w:t>However, t</w:t>
      </w:r>
      <w:r w:rsidRPr="006A7802">
        <w:rPr>
          <w:rFonts w:eastAsia="Times"/>
          <w:b/>
          <w:bCs/>
        </w:rPr>
        <w:t>he relationships I have built with consumers and being able to embed their wisdom into my research project has been one of the most rewarding and worthwhile experiences of my fellowship. Research outcomes have been more meaningful, and consumers have shared ownership of this work.”</w:t>
      </w:r>
    </w:p>
    <w:p w14:paraId="06D85B47" w14:textId="58C5AE4A" w:rsidR="00694CEA" w:rsidRPr="00BE348F" w:rsidRDefault="00222A0A" w:rsidP="008F30AA">
      <w:pPr>
        <w:spacing w:line="270" w:lineRule="atLeast"/>
        <w:jc w:val="center"/>
        <w:rPr>
          <w:rFonts w:ascii="Arial" w:eastAsia="Times" w:hAnsi="Arial"/>
          <w:i/>
          <w:iCs/>
          <w:color w:val="1F497D" w:themeColor="text2"/>
          <w:sz w:val="18"/>
          <w:szCs w:val="18"/>
        </w:rPr>
      </w:pPr>
      <w:r w:rsidRPr="00BE348F">
        <w:rPr>
          <w:rFonts w:ascii="Arial" w:eastAsia="Times" w:hAnsi="Arial"/>
          <w:i/>
          <w:iCs/>
          <w:color w:val="1F497D" w:themeColor="text2"/>
          <w:sz w:val="18"/>
          <w:szCs w:val="18"/>
        </w:rPr>
        <w:t>VCA Early Career Research Fellow, Dr Imran House.</w:t>
      </w:r>
    </w:p>
    <w:p w14:paraId="40A2A38F" w14:textId="77777777" w:rsidR="00A332A5" w:rsidRPr="00232942" w:rsidRDefault="00A332A5" w:rsidP="00232942">
      <w:pPr>
        <w:rPr>
          <w:rFonts w:eastAsia="Times"/>
        </w:rPr>
      </w:pPr>
    </w:p>
    <w:p w14:paraId="48EEA8B3" w14:textId="77777777" w:rsidR="008F30AA" w:rsidRDefault="008F30AA" w:rsidP="006A7802">
      <w:pPr>
        <w:spacing w:after="160" w:line="259" w:lineRule="auto"/>
        <w:rPr>
          <w:rFonts w:ascii="Arial" w:eastAsia="Times" w:hAnsi="Arial"/>
          <w:b/>
          <w:color w:val="365F91" w:themeColor="accent1" w:themeShade="BF"/>
          <w:sz w:val="28"/>
          <w:szCs w:val="28"/>
        </w:rPr>
      </w:pPr>
    </w:p>
    <w:p w14:paraId="25AB9EFB" w14:textId="72192007" w:rsidR="006A7802" w:rsidRPr="004D0618" w:rsidRDefault="006A7802" w:rsidP="006A7802">
      <w:pPr>
        <w:spacing w:after="160" w:line="259" w:lineRule="auto"/>
        <w:rPr>
          <w:rFonts w:ascii="Arial" w:eastAsia="Times" w:hAnsi="Arial"/>
          <w:b/>
          <w:color w:val="365F91" w:themeColor="accent1" w:themeShade="BF"/>
          <w:sz w:val="28"/>
          <w:szCs w:val="28"/>
        </w:rPr>
      </w:pPr>
      <w:r w:rsidRPr="004D0618">
        <w:rPr>
          <w:rFonts w:ascii="Arial" w:eastAsia="Times" w:hAnsi="Arial"/>
          <w:b/>
          <w:color w:val="365F91" w:themeColor="accent1" w:themeShade="BF"/>
          <w:sz w:val="28"/>
          <w:szCs w:val="28"/>
        </w:rPr>
        <w:t>A comprehensive, inclusive</w:t>
      </w:r>
      <w:r>
        <w:rPr>
          <w:rFonts w:ascii="Arial" w:eastAsia="Times" w:hAnsi="Arial"/>
          <w:b/>
          <w:color w:val="365F91" w:themeColor="accent1" w:themeShade="BF"/>
          <w:sz w:val="28"/>
          <w:szCs w:val="28"/>
        </w:rPr>
        <w:t xml:space="preserve">, </w:t>
      </w:r>
      <w:r w:rsidR="00F7704C">
        <w:rPr>
          <w:rFonts w:ascii="Arial" w:eastAsia="Times" w:hAnsi="Arial"/>
          <w:b/>
          <w:color w:val="365F91" w:themeColor="accent1" w:themeShade="BF"/>
          <w:sz w:val="28"/>
          <w:szCs w:val="28"/>
        </w:rPr>
        <w:t>safe,</w:t>
      </w:r>
      <w:r w:rsidRPr="004D0618">
        <w:rPr>
          <w:rFonts w:ascii="Arial" w:eastAsia="Times" w:hAnsi="Arial"/>
          <w:b/>
          <w:color w:val="365F91" w:themeColor="accent1" w:themeShade="BF"/>
          <w:sz w:val="28"/>
          <w:szCs w:val="28"/>
        </w:rPr>
        <w:t xml:space="preserve"> and equitable approach to consumer engagement</w:t>
      </w:r>
    </w:p>
    <w:p w14:paraId="43FECDE3" w14:textId="04C5C5CE" w:rsidR="006A7802" w:rsidRPr="008D3E71" w:rsidRDefault="006A7802" w:rsidP="006A7802">
      <w:pPr>
        <w:spacing w:after="120" w:line="270" w:lineRule="atLeast"/>
        <w:rPr>
          <w:rFonts w:ascii="Arial" w:eastAsia="Times" w:hAnsi="Arial"/>
        </w:rPr>
      </w:pPr>
      <w:r>
        <w:rPr>
          <w:rFonts w:ascii="Arial" w:eastAsia="Times" w:hAnsi="Arial"/>
        </w:rPr>
        <w:t>VCA recognises that there is not a ‘one size fits all’ approach to consumer engagement in research.</w:t>
      </w:r>
      <w:r w:rsidRPr="008D3E71">
        <w:rPr>
          <w:rFonts w:ascii="Arial" w:eastAsia="Times" w:hAnsi="Arial"/>
        </w:rPr>
        <w:t xml:space="preserve"> As outlined in the </w:t>
      </w:r>
      <w:r w:rsidRPr="00D31615">
        <w:rPr>
          <w:rFonts w:ascii="Arial" w:eastAsia="Times" w:hAnsi="Arial"/>
          <w:i/>
          <w:iCs/>
        </w:rPr>
        <w:t>Victorian cancer plan 2020-2024</w:t>
      </w:r>
      <w:r w:rsidRPr="008D3E71">
        <w:rPr>
          <w:rFonts w:ascii="Arial" w:eastAsia="Times" w:hAnsi="Arial"/>
        </w:rPr>
        <w:t xml:space="preserve">, </w:t>
      </w:r>
      <w:r>
        <w:rPr>
          <w:rFonts w:ascii="Arial" w:eastAsia="Times" w:hAnsi="Arial"/>
        </w:rPr>
        <w:t>c</w:t>
      </w:r>
      <w:r w:rsidRPr="007F635E">
        <w:rPr>
          <w:rFonts w:ascii="Arial" w:eastAsia="Times" w:hAnsi="Arial"/>
        </w:rPr>
        <w:t xml:space="preserve">ancer affects people </w:t>
      </w:r>
      <w:r>
        <w:rPr>
          <w:rFonts w:ascii="Arial" w:eastAsia="Times" w:hAnsi="Arial"/>
        </w:rPr>
        <w:t>of</w:t>
      </w:r>
      <w:r w:rsidRPr="007F635E">
        <w:rPr>
          <w:rFonts w:ascii="Arial" w:eastAsia="Times" w:hAnsi="Arial"/>
        </w:rPr>
        <w:t xml:space="preserve"> all ages</w:t>
      </w:r>
      <w:r>
        <w:rPr>
          <w:rFonts w:ascii="Arial" w:eastAsia="Times" w:hAnsi="Arial"/>
        </w:rPr>
        <w:t>, genders</w:t>
      </w:r>
      <w:r w:rsidRPr="00F46747">
        <w:rPr>
          <w:rFonts w:ascii="Arial" w:eastAsia="Times" w:hAnsi="Arial"/>
        </w:rPr>
        <w:t>,</w:t>
      </w:r>
      <w:r w:rsidR="001708C8" w:rsidRPr="00F46747">
        <w:rPr>
          <w:rFonts w:ascii="Arial" w:eastAsia="Times" w:hAnsi="Arial"/>
        </w:rPr>
        <w:t xml:space="preserve"> cultures,</w:t>
      </w:r>
      <w:r w:rsidRPr="00F46747">
        <w:rPr>
          <w:rFonts w:ascii="Arial" w:eastAsia="Times" w:hAnsi="Arial"/>
        </w:rPr>
        <w:t xml:space="preserve"> backgrounds</w:t>
      </w:r>
      <w:r>
        <w:rPr>
          <w:rFonts w:ascii="Arial" w:eastAsia="Times" w:hAnsi="Arial"/>
        </w:rPr>
        <w:t xml:space="preserve">, geographical locations and </w:t>
      </w:r>
      <w:r w:rsidRPr="008D3E71">
        <w:rPr>
          <w:rFonts w:ascii="Arial" w:eastAsia="Times" w:hAnsi="Arial"/>
        </w:rPr>
        <w:t xml:space="preserve">recognises that every </w:t>
      </w:r>
      <w:r w:rsidRPr="00F46747">
        <w:rPr>
          <w:rFonts w:ascii="Arial" w:eastAsia="Times" w:hAnsi="Arial"/>
        </w:rPr>
        <w:t>person</w:t>
      </w:r>
      <w:r w:rsidR="001708C8" w:rsidRPr="00F46747">
        <w:rPr>
          <w:rFonts w:ascii="Arial" w:eastAsia="Times" w:hAnsi="Arial"/>
        </w:rPr>
        <w:t xml:space="preserve"> impacted by cancer</w:t>
      </w:r>
      <w:r w:rsidRPr="00F46747">
        <w:rPr>
          <w:rFonts w:ascii="Arial" w:eastAsia="Times" w:hAnsi="Arial"/>
        </w:rPr>
        <w:t xml:space="preserve"> has</w:t>
      </w:r>
      <w:r w:rsidRPr="008D3E71">
        <w:rPr>
          <w:rFonts w:ascii="Arial" w:eastAsia="Times" w:hAnsi="Arial"/>
        </w:rPr>
        <w:t xml:space="preserve"> unique needs</w:t>
      </w:r>
      <w:r>
        <w:rPr>
          <w:rFonts w:ascii="Arial" w:eastAsia="Times" w:hAnsi="Arial"/>
        </w:rPr>
        <w:t xml:space="preserve"> </w:t>
      </w:r>
      <w:r w:rsidRPr="008D3E71">
        <w:rPr>
          <w:rFonts w:ascii="Arial" w:eastAsia="Times" w:hAnsi="Arial"/>
        </w:rPr>
        <w:t>and experiences.</w:t>
      </w:r>
      <w:r>
        <w:rPr>
          <w:rFonts w:ascii="Arial" w:eastAsia="Times" w:hAnsi="Arial"/>
        </w:rPr>
        <w:t xml:space="preserve"> </w:t>
      </w:r>
    </w:p>
    <w:p w14:paraId="212D5AFA" w14:textId="6BCD6DBE" w:rsidR="006A7802" w:rsidRPr="00ED25C8" w:rsidRDefault="006A7802" w:rsidP="006A7802">
      <w:pPr>
        <w:spacing w:after="120" w:line="270" w:lineRule="atLeast"/>
        <w:rPr>
          <w:rFonts w:ascii="Arial" w:eastAsia="Times" w:hAnsi="Arial"/>
        </w:rPr>
      </w:pPr>
      <w:r w:rsidRPr="00593B7A">
        <w:rPr>
          <w:rFonts w:ascii="Arial" w:eastAsia="Times" w:hAnsi="Arial"/>
        </w:rPr>
        <w:t>Often consumers experience barriers to access and care across the cancer continuum and system. VCA considers diversity and equity</w:t>
      </w:r>
      <w:r>
        <w:rPr>
          <w:rFonts w:ascii="Arial" w:eastAsia="Times" w:hAnsi="Arial"/>
        </w:rPr>
        <w:t xml:space="preserve"> as</w:t>
      </w:r>
      <w:r w:rsidRPr="00593B7A">
        <w:rPr>
          <w:rFonts w:ascii="Arial" w:eastAsia="Times" w:hAnsi="Arial"/>
        </w:rPr>
        <w:t xml:space="preserve"> key principles of consumer engagement. </w:t>
      </w:r>
      <w:r>
        <w:rPr>
          <w:rFonts w:ascii="Arial" w:eastAsia="Times" w:hAnsi="Arial"/>
        </w:rPr>
        <w:t>While r</w:t>
      </w:r>
      <w:r w:rsidRPr="00593B7A">
        <w:rPr>
          <w:rFonts w:ascii="Arial" w:eastAsia="Times" w:hAnsi="Arial"/>
        </w:rPr>
        <w:t>esearch</w:t>
      </w:r>
      <w:r>
        <w:rPr>
          <w:rFonts w:ascii="Arial" w:eastAsia="Times" w:hAnsi="Arial"/>
        </w:rPr>
        <w:t xml:space="preserve"> questions ‘at first glance’ might not appear to impact </w:t>
      </w:r>
      <w:r w:rsidRPr="378C36F7">
        <w:rPr>
          <w:rFonts w:ascii="Arial" w:eastAsia="Times" w:hAnsi="Arial"/>
        </w:rPr>
        <w:t>diverse communities</w:t>
      </w:r>
      <w:r>
        <w:rPr>
          <w:rFonts w:ascii="Arial" w:eastAsia="Times" w:hAnsi="Arial"/>
        </w:rPr>
        <w:t xml:space="preserve">, applicants are encouraged </w:t>
      </w:r>
      <w:r w:rsidRPr="00ED25C8">
        <w:rPr>
          <w:rFonts w:ascii="Arial" w:eastAsia="Times" w:hAnsi="Arial"/>
        </w:rPr>
        <w:t xml:space="preserve">to engage consumers with wide-ranging experiences and backgrounds representing the </w:t>
      </w:r>
      <w:r w:rsidRPr="2F991E7F">
        <w:rPr>
          <w:rFonts w:ascii="Arial" w:eastAsia="Times" w:hAnsi="Arial"/>
        </w:rPr>
        <w:t>community</w:t>
      </w:r>
      <w:r w:rsidRPr="00ED25C8">
        <w:rPr>
          <w:rFonts w:ascii="Arial" w:eastAsia="Times" w:hAnsi="Arial"/>
        </w:rPr>
        <w:t xml:space="preserve"> that we live in, including:  </w:t>
      </w:r>
    </w:p>
    <w:p w14:paraId="6407F6AB" w14:textId="77777777" w:rsidR="006A7802" w:rsidRPr="00BC410E" w:rsidRDefault="006A7802" w:rsidP="006A7802">
      <w:pPr>
        <w:pStyle w:val="ListParagraph"/>
        <w:numPr>
          <w:ilvl w:val="0"/>
          <w:numId w:val="24"/>
        </w:numPr>
        <w:spacing w:after="120" w:line="270" w:lineRule="atLeast"/>
        <w:rPr>
          <w:rFonts w:ascii="Arial" w:eastAsia="Times" w:hAnsi="Arial" w:cs="Times New Roman"/>
          <w:sz w:val="20"/>
          <w:szCs w:val="20"/>
        </w:rPr>
      </w:pPr>
      <w:r>
        <w:rPr>
          <w:rFonts w:ascii="Arial" w:eastAsia="Times" w:hAnsi="Arial" w:cs="Times New Roman"/>
          <w:sz w:val="20"/>
          <w:szCs w:val="20"/>
        </w:rPr>
        <w:t>people</w:t>
      </w:r>
      <w:r w:rsidRPr="00BC410E">
        <w:rPr>
          <w:rFonts w:ascii="Arial" w:eastAsia="Times" w:hAnsi="Arial" w:cs="Times New Roman"/>
          <w:sz w:val="20"/>
          <w:szCs w:val="20"/>
        </w:rPr>
        <w:t xml:space="preserve"> living in rural and regional Victoria</w:t>
      </w:r>
    </w:p>
    <w:p w14:paraId="208EF3C3" w14:textId="77777777" w:rsidR="006A7802" w:rsidRDefault="006A7802" w:rsidP="006A7802">
      <w:pPr>
        <w:pStyle w:val="ListParagraph"/>
        <w:numPr>
          <w:ilvl w:val="0"/>
          <w:numId w:val="24"/>
        </w:numPr>
        <w:spacing w:after="120" w:line="270" w:lineRule="atLeast"/>
        <w:rPr>
          <w:rFonts w:ascii="Arial" w:eastAsia="Times" w:hAnsi="Arial" w:cs="Times New Roman"/>
          <w:sz w:val="20"/>
          <w:szCs w:val="20"/>
        </w:rPr>
      </w:pPr>
      <w:r w:rsidRPr="00BC410E">
        <w:rPr>
          <w:rFonts w:ascii="Arial" w:eastAsia="Times" w:hAnsi="Arial" w:cs="Times New Roman"/>
          <w:sz w:val="20"/>
          <w:szCs w:val="20"/>
        </w:rPr>
        <w:t>Aboriginal</w:t>
      </w:r>
      <w:r>
        <w:rPr>
          <w:rFonts w:ascii="Arial" w:eastAsia="Times" w:hAnsi="Arial" w:cs="Times New Roman"/>
          <w:sz w:val="20"/>
          <w:szCs w:val="20"/>
        </w:rPr>
        <w:t xml:space="preserve"> and Torres Strait Islander</w:t>
      </w:r>
      <w:r w:rsidRPr="00BC410E">
        <w:rPr>
          <w:rFonts w:ascii="Arial" w:eastAsia="Times" w:hAnsi="Arial" w:cs="Times New Roman"/>
          <w:sz w:val="20"/>
          <w:szCs w:val="20"/>
        </w:rPr>
        <w:t xml:space="preserve"> people</w:t>
      </w:r>
    </w:p>
    <w:p w14:paraId="272A3A10" w14:textId="77777777" w:rsidR="006A7802" w:rsidRPr="00BC410E" w:rsidRDefault="006A7802" w:rsidP="006A7802">
      <w:pPr>
        <w:pStyle w:val="ListParagraph"/>
        <w:numPr>
          <w:ilvl w:val="0"/>
          <w:numId w:val="24"/>
        </w:numPr>
        <w:spacing w:after="120" w:line="270" w:lineRule="atLeast"/>
        <w:rPr>
          <w:rFonts w:ascii="Arial" w:eastAsia="Times" w:hAnsi="Arial" w:cs="Times New Roman"/>
          <w:sz w:val="20"/>
          <w:szCs w:val="20"/>
        </w:rPr>
      </w:pPr>
      <w:r w:rsidRPr="00BC410E">
        <w:rPr>
          <w:rFonts w:ascii="Arial" w:eastAsia="Times" w:hAnsi="Arial" w:cs="Times New Roman"/>
          <w:sz w:val="20"/>
          <w:szCs w:val="20"/>
        </w:rPr>
        <w:t>culturally and linguistically diverse people</w:t>
      </w:r>
    </w:p>
    <w:p w14:paraId="1A023076" w14:textId="77777777" w:rsidR="006A7802" w:rsidRPr="00BC410E" w:rsidRDefault="006A7802" w:rsidP="006A7802">
      <w:pPr>
        <w:pStyle w:val="ListParagraph"/>
        <w:numPr>
          <w:ilvl w:val="0"/>
          <w:numId w:val="24"/>
        </w:numPr>
        <w:spacing w:after="120" w:line="270" w:lineRule="atLeast"/>
        <w:rPr>
          <w:rFonts w:ascii="Arial" w:eastAsia="Times" w:hAnsi="Arial" w:cs="Times New Roman"/>
          <w:sz w:val="20"/>
          <w:szCs w:val="20"/>
        </w:rPr>
      </w:pPr>
      <w:r w:rsidRPr="00BC410E">
        <w:rPr>
          <w:rFonts w:ascii="Arial" w:eastAsia="Times" w:hAnsi="Arial" w:cs="Times New Roman"/>
          <w:sz w:val="20"/>
          <w:szCs w:val="20"/>
        </w:rPr>
        <w:t>young people</w:t>
      </w:r>
    </w:p>
    <w:p w14:paraId="6109DEA1" w14:textId="77777777" w:rsidR="006A7802" w:rsidRPr="00BC410E" w:rsidRDefault="006A7802" w:rsidP="006A7802">
      <w:pPr>
        <w:pStyle w:val="ListParagraph"/>
        <w:numPr>
          <w:ilvl w:val="0"/>
          <w:numId w:val="24"/>
        </w:numPr>
        <w:spacing w:after="120" w:line="270" w:lineRule="atLeast"/>
        <w:rPr>
          <w:rFonts w:ascii="Arial" w:eastAsia="Times" w:hAnsi="Arial" w:cs="Times New Roman"/>
          <w:sz w:val="20"/>
          <w:szCs w:val="20"/>
        </w:rPr>
      </w:pPr>
      <w:r w:rsidRPr="00BC410E">
        <w:rPr>
          <w:rFonts w:ascii="Arial" w:eastAsia="Times" w:hAnsi="Arial" w:cs="Times New Roman"/>
          <w:sz w:val="20"/>
          <w:szCs w:val="20"/>
        </w:rPr>
        <w:t>people with complex and chronic conditions</w:t>
      </w:r>
    </w:p>
    <w:p w14:paraId="52AEB66E" w14:textId="77777777" w:rsidR="006A7802" w:rsidRPr="006A39C9" w:rsidRDefault="006A7802" w:rsidP="006A7802">
      <w:pPr>
        <w:pStyle w:val="ListParagraph"/>
        <w:numPr>
          <w:ilvl w:val="0"/>
          <w:numId w:val="24"/>
        </w:numPr>
        <w:spacing w:after="120" w:line="270" w:lineRule="atLeast"/>
        <w:rPr>
          <w:rFonts w:ascii="Arial" w:eastAsia="Times" w:hAnsi="Arial" w:cs="Times New Roman"/>
          <w:sz w:val="20"/>
          <w:szCs w:val="20"/>
        </w:rPr>
      </w:pPr>
      <w:r w:rsidRPr="00BC410E">
        <w:rPr>
          <w:rFonts w:ascii="Arial" w:eastAsia="Times" w:hAnsi="Arial" w:cs="Times New Roman"/>
          <w:sz w:val="20"/>
          <w:szCs w:val="20"/>
        </w:rPr>
        <w:t>people with disability</w:t>
      </w:r>
    </w:p>
    <w:p w14:paraId="1399820A" w14:textId="0AE133BB" w:rsidR="006A7802" w:rsidRPr="00BC410E" w:rsidRDefault="006A7802" w:rsidP="006A7802">
      <w:pPr>
        <w:pStyle w:val="ListParagraph"/>
        <w:numPr>
          <w:ilvl w:val="0"/>
          <w:numId w:val="24"/>
        </w:numPr>
        <w:spacing w:after="120" w:line="270" w:lineRule="atLeast"/>
        <w:rPr>
          <w:rFonts w:ascii="Arial" w:eastAsia="Times" w:hAnsi="Arial" w:cs="Times New Roman"/>
          <w:sz w:val="20"/>
          <w:szCs w:val="20"/>
        </w:rPr>
      </w:pPr>
      <w:r w:rsidRPr="00BC410E">
        <w:rPr>
          <w:rFonts w:ascii="Arial" w:eastAsia="Times" w:hAnsi="Arial" w:cs="Times New Roman"/>
          <w:sz w:val="20"/>
          <w:szCs w:val="20"/>
        </w:rPr>
        <w:t>LGBTIQ+ people</w:t>
      </w:r>
    </w:p>
    <w:p w14:paraId="7EBB4DC1" w14:textId="77777777" w:rsidR="00021063" w:rsidRDefault="006A7802" w:rsidP="00097ACB">
      <w:pPr>
        <w:spacing w:line="270" w:lineRule="atLeast"/>
        <w:rPr>
          <w:rFonts w:ascii="Arial" w:eastAsia="Times" w:hAnsi="Arial"/>
        </w:rPr>
      </w:pPr>
      <w:r>
        <w:rPr>
          <w:rFonts w:ascii="Arial" w:eastAsia="Times" w:hAnsi="Arial"/>
        </w:rPr>
        <w:t>Culturally inclusive practices are essential to ensure diversity of consumers is considered and a culturally safe research environment is established.</w:t>
      </w:r>
      <w:r w:rsidRPr="39A68B48">
        <w:rPr>
          <w:rFonts w:ascii="Arial" w:eastAsia="Times" w:hAnsi="Arial"/>
        </w:rPr>
        <w:t xml:space="preserve"> </w:t>
      </w:r>
    </w:p>
    <w:p w14:paraId="03B06131" w14:textId="62D77549" w:rsidR="00BB1C4E" w:rsidRPr="00097ACB" w:rsidRDefault="006A7802" w:rsidP="00097ACB">
      <w:pPr>
        <w:spacing w:line="270" w:lineRule="atLeast"/>
        <w:rPr>
          <w:rFonts w:ascii="Arial" w:eastAsia="Times" w:hAnsi="Arial"/>
          <w:i/>
          <w:iCs/>
        </w:rPr>
      </w:pPr>
      <w:r w:rsidRPr="39A68B48">
        <w:rPr>
          <w:rFonts w:ascii="Arial" w:eastAsia="Times" w:hAnsi="Arial"/>
        </w:rPr>
        <w:t>For further guidance refer to the N</w:t>
      </w:r>
      <w:r w:rsidR="00AE5216">
        <w:rPr>
          <w:rFonts w:ascii="Arial" w:eastAsia="Times" w:hAnsi="Arial"/>
        </w:rPr>
        <w:t xml:space="preserve">ational </w:t>
      </w:r>
      <w:r w:rsidRPr="39A68B48">
        <w:rPr>
          <w:rFonts w:ascii="Arial" w:eastAsia="Times" w:hAnsi="Arial"/>
        </w:rPr>
        <w:t>H</w:t>
      </w:r>
      <w:r w:rsidR="00AE5216">
        <w:rPr>
          <w:rFonts w:ascii="Arial" w:eastAsia="Times" w:hAnsi="Arial"/>
        </w:rPr>
        <w:t xml:space="preserve">ealth and </w:t>
      </w:r>
      <w:r w:rsidRPr="39A68B48">
        <w:rPr>
          <w:rFonts w:ascii="Arial" w:eastAsia="Times" w:hAnsi="Arial"/>
        </w:rPr>
        <w:t>M</w:t>
      </w:r>
      <w:r w:rsidR="00AE5216">
        <w:rPr>
          <w:rFonts w:ascii="Arial" w:eastAsia="Times" w:hAnsi="Arial"/>
        </w:rPr>
        <w:t xml:space="preserve">edical </w:t>
      </w:r>
      <w:r w:rsidRPr="39A68B48">
        <w:rPr>
          <w:rFonts w:ascii="Arial" w:eastAsia="Times" w:hAnsi="Arial"/>
        </w:rPr>
        <w:t>R</w:t>
      </w:r>
      <w:r w:rsidR="00AE5216">
        <w:rPr>
          <w:rFonts w:ascii="Arial" w:eastAsia="Times" w:hAnsi="Arial"/>
        </w:rPr>
        <w:t xml:space="preserve">esearch </w:t>
      </w:r>
      <w:r w:rsidRPr="39A68B48">
        <w:rPr>
          <w:rFonts w:ascii="Arial" w:eastAsia="Times" w:hAnsi="Arial"/>
        </w:rPr>
        <w:t>C</w:t>
      </w:r>
      <w:r w:rsidR="00AE5216">
        <w:rPr>
          <w:rFonts w:ascii="Arial" w:eastAsia="Times" w:hAnsi="Arial"/>
        </w:rPr>
        <w:t>ouncil (NHMRC)</w:t>
      </w:r>
      <w:r w:rsidRPr="39A68B48">
        <w:rPr>
          <w:rFonts w:ascii="Arial" w:eastAsia="Times" w:hAnsi="Arial"/>
        </w:rPr>
        <w:t xml:space="preserve"> </w:t>
      </w:r>
      <w:hyperlink r:id="rId14" w:history="1">
        <w:r w:rsidRPr="00F43DAC">
          <w:rPr>
            <w:rStyle w:val="Hyperlink"/>
            <w:rFonts w:ascii="Arial" w:eastAsia="Times" w:hAnsi="Arial"/>
          </w:rPr>
          <w:t>`</w:t>
        </w:r>
        <w:r w:rsidRPr="00F43DAC">
          <w:rPr>
            <w:rStyle w:val="Hyperlink"/>
            <w:rFonts w:ascii="Arial" w:eastAsia="Times" w:hAnsi="Arial"/>
            <w:i/>
            <w:iCs/>
          </w:rPr>
          <w:t>Ethical guidelines for research with Aboriginal and Torres Strait Islander Peoples’</w:t>
        </w:r>
      </w:hyperlink>
      <w:r w:rsidRPr="39A68B48">
        <w:rPr>
          <w:rFonts w:ascii="Arial" w:eastAsia="Times" w:hAnsi="Arial"/>
          <w:i/>
          <w:iCs/>
        </w:rPr>
        <w:t xml:space="preserve"> </w:t>
      </w:r>
      <w:r w:rsidR="004C5AC6">
        <w:rPr>
          <w:rFonts w:ascii="Arial" w:eastAsia="Times" w:hAnsi="Arial"/>
        </w:rPr>
        <w:t xml:space="preserve">and </w:t>
      </w:r>
      <w:r w:rsidR="004C5AC6" w:rsidRPr="004C5AC6">
        <w:rPr>
          <w:rFonts w:ascii="Arial" w:eastAsia="Times" w:hAnsi="Arial"/>
          <w:i/>
          <w:iCs/>
        </w:rPr>
        <w:t>`</w:t>
      </w:r>
      <w:hyperlink r:id="rId15" w:history="1">
        <w:r w:rsidR="004C5AC6" w:rsidRPr="00F43DAC">
          <w:rPr>
            <w:rStyle w:val="Hyperlink"/>
            <w:rFonts w:ascii="Arial" w:eastAsia="Times" w:hAnsi="Arial"/>
            <w:i/>
            <w:iCs/>
          </w:rPr>
          <w:t xml:space="preserve">AIATSIS Code of Ethics for Aboriginal and Torres </w:t>
        </w:r>
        <w:r w:rsidR="004C5AC6" w:rsidRPr="00F43DAC">
          <w:rPr>
            <w:rStyle w:val="Hyperlink"/>
            <w:rFonts w:ascii="Arial" w:eastAsia="Times" w:hAnsi="Arial"/>
            <w:i/>
            <w:iCs/>
          </w:rPr>
          <w:lastRenderedPageBreak/>
          <w:t>Strait Islander Research’</w:t>
        </w:r>
      </w:hyperlink>
      <w:r w:rsidR="004C5AC6" w:rsidRPr="004C5AC6">
        <w:rPr>
          <w:rFonts w:ascii="Arial" w:eastAsia="Times" w:hAnsi="Arial" w:cs="Arial"/>
        </w:rPr>
        <w:t xml:space="preserve"> </w:t>
      </w:r>
      <w:r w:rsidR="00435C30">
        <w:rPr>
          <w:rFonts w:ascii="Arial" w:eastAsia="Times" w:hAnsi="Arial" w:cs="Arial"/>
        </w:rPr>
        <w:t xml:space="preserve">and </w:t>
      </w:r>
      <w:r w:rsidR="004C5AC6" w:rsidRPr="004C5AC6">
        <w:rPr>
          <w:rFonts w:ascii="Arial" w:eastAsia="Times" w:hAnsi="Arial"/>
          <w:i/>
          <w:iCs/>
        </w:rPr>
        <w:t>`</w:t>
      </w:r>
      <w:hyperlink r:id="rId16" w:history="1">
        <w:r w:rsidR="004C5AC6" w:rsidRPr="00435C30">
          <w:rPr>
            <w:rStyle w:val="Hyperlink"/>
            <w:rFonts w:ascii="Arial" w:eastAsia="Times" w:hAnsi="Arial"/>
            <w:i/>
            <w:iCs/>
          </w:rPr>
          <w:t>A Guide to applying The AIATSIS Code of Ethics for Aboriginal and Torres Strait Islander Research’</w:t>
        </w:r>
      </w:hyperlink>
      <w:r w:rsidR="00435C30">
        <w:t>.</w:t>
      </w:r>
    </w:p>
    <w:p w14:paraId="1B3F2D22" w14:textId="384EC7CF" w:rsidR="006A7802" w:rsidRDefault="006A7802" w:rsidP="00BB1C4E">
      <w:pPr>
        <w:spacing w:after="120" w:line="270" w:lineRule="atLeast"/>
        <w:rPr>
          <w:rFonts w:ascii="Arial" w:eastAsia="Times" w:hAnsi="Arial"/>
        </w:rPr>
      </w:pPr>
      <w:r w:rsidRPr="00D11EA9">
        <w:rPr>
          <w:rFonts w:ascii="Arial" w:eastAsia="Times" w:hAnsi="Arial"/>
        </w:rPr>
        <w:t>The Victorian Aboriginal Community Controlled Health Organisation is leading the development of a Victorian Aboriginal Research Accord</w:t>
      </w:r>
      <w:r w:rsidR="00D11EA9" w:rsidRPr="00D11EA9">
        <w:rPr>
          <w:rStyle w:val="FootnoteReference"/>
          <w:rFonts w:ascii="Arial" w:eastAsia="Times" w:hAnsi="Arial"/>
        </w:rPr>
        <w:footnoteReference w:id="5"/>
      </w:r>
      <w:r w:rsidRPr="00D11EA9">
        <w:rPr>
          <w:rFonts w:ascii="Arial" w:eastAsia="Times" w:hAnsi="Arial"/>
        </w:rPr>
        <w:t xml:space="preserve">.  The </w:t>
      </w:r>
      <w:r w:rsidR="00D11EA9" w:rsidRPr="00D11EA9">
        <w:rPr>
          <w:rFonts w:ascii="Arial" w:eastAsia="Times" w:hAnsi="Arial"/>
        </w:rPr>
        <w:t>core purpose of the Accord is to embed Victorian Aboriginal community’s self-determination, regarding research that impacts Communities within a draft Accord which is Aboriginal led, informed by Aboriginal literature and is culturally appropriate.</w:t>
      </w:r>
      <w:r w:rsidR="00D11EA9">
        <w:rPr>
          <w:rFonts w:ascii="Arial" w:eastAsia="Times" w:hAnsi="Arial"/>
        </w:rPr>
        <w:t xml:space="preserve"> It is anticipated the Accord will provide additional guidance for Victorian researchers to ensure </w:t>
      </w:r>
      <w:r w:rsidR="00D11EA9" w:rsidRPr="00D11EA9">
        <w:rPr>
          <w:rFonts w:ascii="Arial" w:eastAsia="Times" w:hAnsi="Arial"/>
          <w:u w:val="single"/>
        </w:rPr>
        <w:t>all</w:t>
      </w:r>
      <w:r w:rsidR="00D11EA9">
        <w:rPr>
          <w:rFonts w:ascii="Arial" w:eastAsia="Times" w:hAnsi="Arial"/>
        </w:rPr>
        <w:t xml:space="preserve"> research is undertaken in a culturally appropriate manner. </w:t>
      </w:r>
    </w:p>
    <w:p w14:paraId="1CE54D9C" w14:textId="77777777" w:rsidR="003C0E1E" w:rsidRPr="00BB1C4E" w:rsidRDefault="003C0E1E" w:rsidP="00BB1C4E">
      <w:pPr>
        <w:spacing w:after="120" w:line="270" w:lineRule="atLeast"/>
        <w:rPr>
          <w:rFonts w:ascii="Arial" w:eastAsia="Times" w:hAnsi="Arial"/>
        </w:rPr>
      </w:pPr>
    </w:p>
    <w:p w14:paraId="61B3432C" w14:textId="77777777" w:rsidR="006A7802" w:rsidRPr="0016578B" w:rsidRDefault="006A7802" w:rsidP="006A7802">
      <w:pPr>
        <w:spacing w:after="160" w:line="259" w:lineRule="auto"/>
        <w:rPr>
          <w:rFonts w:ascii="Arial" w:eastAsia="Times" w:hAnsi="Arial"/>
          <w:b/>
          <w:color w:val="365F91" w:themeColor="accent1" w:themeShade="BF"/>
          <w:sz w:val="28"/>
          <w:szCs w:val="28"/>
        </w:rPr>
      </w:pPr>
      <w:r w:rsidRPr="0016578B">
        <w:rPr>
          <w:rFonts w:ascii="Arial" w:eastAsia="Times" w:hAnsi="Arial"/>
          <w:b/>
          <w:color w:val="365F91" w:themeColor="accent1" w:themeShade="BF"/>
          <w:sz w:val="28"/>
          <w:szCs w:val="28"/>
        </w:rPr>
        <w:t>Minimum requirements for consumer engagement in cancer research</w:t>
      </w:r>
    </w:p>
    <w:p w14:paraId="3524D650" w14:textId="0C7A511F" w:rsidR="006A7802" w:rsidRDefault="006A7802" w:rsidP="006A7802">
      <w:pPr>
        <w:spacing w:after="120" w:line="270" w:lineRule="atLeast"/>
        <w:rPr>
          <w:rFonts w:ascii="Arial" w:eastAsia="Times" w:hAnsi="Arial"/>
        </w:rPr>
      </w:pPr>
      <w:r>
        <w:rPr>
          <w:rFonts w:ascii="Arial" w:eastAsia="Times" w:hAnsi="Arial"/>
        </w:rPr>
        <w:t>The VCA expects that all</w:t>
      </w:r>
      <w:r w:rsidRPr="094CEDE2">
        <w:rPr>
          <w:rFonts w:ascii="Arial" w:eastAsia="Times" w:hAnsi="Arial"/>
        </w:rPr>
        <w:t xml:space="preserve"> applica</w:t>
      </w:r>
      <w:r>
        <w:rPr>
          <w:rFonts w:ascii="Arial" w:eastAsia="Times" w:hAnsi="Arial"/>
        </w:rPr>
        <w:t xml:space="preserve">tions involve at least </w:t>
      </w:r>
      <w:r w:rsidRPr="094CEDE2">
        <w:rPr>
          <w:rFonts w:ascii="Arial" w:eastAsia="Times" w:hAnsi="Arial"/>
        </w:rPr>
        <w:t>two individual consumers</w:t>
      </w:r>
      <w:r>
        <w:rPr>
          <w:rFonts w:ascii="Arial" w:eastAsia="Times" w:hAnsi="Arial"/>
        </w:rPr>
        <w:t xml:space="preserve"> with a lived experience of cancer</w:t>
      </w:r>
      <w:r w:rsidRPr="094CEDE2">
        <w:rPr>
          <w:rFonts w:ascii="Arial" w:eastAsia="Times" w:hAnsi="Arial"/>
        </w:rPr>
        <w:t xml:space="preserve">. </w:t>
      </w:r>
      <w:r w:rsidR="003F0DF1">
        <w:rPr>
          <w:rFonts w:ascii="Arial" w:eastAsia="Times" w:hAnsi="Arial"/>
        </w:rPr>
        <w:t>T</w:t>
      </w:r>
      <w:r w:rsidR="003F0DF1" w:rsidRPr="003F0DF1">
        <w:rPr>
          <w:rFonts w:ascii="Arial" w:eastAsia="Times" w:hAnsi="Arial"/>
        </w:rPr>
        <w:t>hese consumer</w:t>
      </w:r>
      <w:r w:rsidR="003F0DF1">
        <w:rPr>
          <w:rFonts w:ascii="Arial" w:eastAsia="Times" w:hAnsi="Arial"/>
        </w:rPr>
        <w:t xml:space="preserve">s </w:t>
      </w:r>
      <w:r w:rsidR="003F0DF1" w:rsidRPr="003F0DF1">
        <w:rPr>
          <w:rFonts w:ascii="Arial" w:eastAsia="Times" w:hAnsi="Arial"/>
        </w:rPr>
        <w:t xml:space="preserve">can be engaged as patients </w:t>
      </w:r>
      <w:proofErr w:type="gramStart"/>
      <w:r w:rsidR="003F0DF1" w:rsidRPr="003F0DF1">
        <w:rPr>
          <w:rFonts w:ascii="Arial" w:eastAsia="Times" w:hAnsi="Arial"/>
        </w:rPr>
        <w:t>in their own right and</w:t>
      </w:r>
      <w:proofErr w:type="gramEnd"/>
      <w:r w:rsidR="003F0DF1" w:rsidRPr="003F0DF1">
        <w:rPr>
          <w:rFonts w:ascii="Arial" w:eastAsia="Times" w:hAnsi="Arial"/>
        </w:rPr>
        <w:t xml:space="preserve">/or be members of cancer related groups such as peer support groups or cancer-specific associations. </w:t>
      </w:r>
      <w:r w:rsidRPr="094CEDE2">
        <w:rPr>
          <w:rFonts w:ascii="Arial" w:eastAsia="Times" w:hAnsi="Arial"/>
        </w:rPr>
        <w:t xml:space="preserve">Their names </w:t>
      </w:r>
      <w:r>
        <w:rPr>
          <w:rFonts w:ascii="Arial" w:eastAsia="Times" w:hAnsi="Arial"/>
        </w:rPr>
        <w:t>should</w:t>
      </w:r>
      <w:r w:rsidRPr="094CEDE2">
        <w:rPr>
          <w:rFonts w:ascii="Arial" w:eastAsia="Times" w:hAnsi="Arial"/>
        </w:rPr>
        <w:t xml:space="preserve"> be included on the application</w:t>
      </w:r>
      <w:r>
        <w:rPr>
          <w:rFonts w:ascii="Arial" w:eastAsia="Times" w:hAnsi="Arial"/>
        </w:rPr>
        <w:t xml:space="preserve"> (with their written consent)</w:t>
      </w:r>
      <w:r w:rsidRPr="094CEDE2">
        <w:rPr>
          <w:rFonts w:ascii="Arial" w:eastAsia="Times" w:hAnsi="Arial"/>
        </w:rPr>
        <w:t xml:space="preserve">, their role and how they have participated in the research project </w:t>
      </w:r>
      <w:r>
        <w:rPr>
          <w:rFonts w:ascii="Arial" w:eastAsia="Times" w:hAnsi="Arial"/>
        </w:rPr>
        <w:t xml:space="preserve">are </w:t>
      </w:r>
      <w:r w:rsidRPr="094CEDE2">
        <w:rPr>
          <w:rFonts w:ascii="Arial" w:eastAsia="Times" w:hAnsi="Arial"/>
        </w:rPr>
        <w:t xml:space="preserve">clearly articulated, </w:t>
      </w:r>
      <w:r>
        <w:rPr>
          <w:rFonts w:ascii="Arial" w:eastAsia="Times" w:hAnsi="Arial"/>
        </w:rPr>
        <w:t xml:space="preserve">and </w:t>
      </w:r>
      <w:r w:rsidRPr="094CEDE2">
        <w:rPr>
          <w:rFonts w:ascii="Arial" w:eastAsia="Times" w:hAnsi="Arial"/>
        </w:rPr>
        <w:t xml:space="preserve">they </w:t>
      </w:r>
      <w:r>
        <w:rPr>
          <w:rFonts w:ascii="Arial" w:eastAsia="Times" w:hAnsi="Arial"/>
        </w:rPr>
        <w:t>should</w:t>
      </w:r>
      <w:r w:rsidRPr="094CEDE2">
        <w:rPr>
          <w:rFonts w:ascii="Arial" w:eastAsia="Times" w:hAnsi="Arial"/>
        </w:rPr>
        <w:t xml:space="preserve"> be listed as </w:t>
      </w:r>
      <w:r>
        <w:rPr>
          <w:rFonts w:ascii="Arial" w:eastAsia="Times" w:hAnsi="Arial"/>
        </w:rPr>
        <w:t>part of the research team,</w:t>
      </w:r>
      <w:r w:rsidRPr="094CEDE2">
        <w:rPr>
          <w:rFonts w:ascii="Arial" w:eastAsia="Times" w:hAnsi="Arial"/>
        </w:rPr>
        <w:t xml:space="preserve"> </w:t>
      </w:r>
      <w:r>
        <w:rPr>
          <w:rFonts w:ascii="Arial" w:eastAsia="Times" w:hAnsi="Arial"/>
        </w:rPr>
        <w:t>preferably as</w:t>
      </w:r>
      <w:r w:rsidRPr="094CEDE2">
        <w:rPr>
          <w:rFonts w:ascii="Arial" w:eastAsia="Times" w:hAnsi="Arial"/>
        </w:rPr>
        <w:t xml:space="preserve"> an </w:t>
      </w:r>
      <w:r>
        <w:rPr>
          <w:rFonts w:ascii="Arial" w:eastAsia="Times" w:hAnsi="Arial"/>
        </w:rPr>
        <w:t>A</w:t>
      </w:r>
      <w:r w:rsidRPr="094CEDE2">
        <w:rPr>
          <w:rFonts w:ascii="Arial" w:eastAsia="Times" w:hAnsi="Arial"/>
        </w:rPr>
        <w:t xml:space="preserve">ssociate </w:t>
      </w:r>
      <w:r>
        <w:rPr>
          <w:rFonts w:ascii="Arial" w:eastAsia="Times" w:hAnsi="Arial"/>
        </w:rPr>
        <w:t>I</w:t>
      </w:r>
      <w:r w:rsidRPr="094CEDE2">
        <w:rPr>
          <w:rFonts w:ascii="Arial" w:eastAsia="Times" w:hAnsi="Arial"/>
        </w:rPr>
        <w:t xml:space="preserve">nvestigator. </w:t>
      </w:r>
    </w:p>
    <w:p w14:paraId="613E810B" w14:textId="77777777" w:rsidR="006A7802" w:rsidRDefault="006A7802" w:rsidP="006A7802">
      <w:pPr>
        <w:spacing w:after="120" w:line="270" w:lineRule="atLeast"/>
        <w:rPr>
          <w:rFonts w:ascii="Arial" w:eastAsia="Times" w:hAnsi="Arial"/>
        </w:rPr>
      </w:pPr>
      <w:r w:rsidRPr="094CEDE2">
        <w:rPr>
          <w:rFonts w:ascii="Arial" w:eastAsia="Times" w:hAnsi="Arial"/>
        </w:rPr>
        <w:t>Including community organisation</w:t>
      </w:r>
      <w:r>
        <w:rPr>
          <w:rFonts w:ascii="Arial" w:eastAsia="Times" w:hAnsi="Arial"/>
        </w:rPr>
        <w:t>s, networks and support groups</w:t>
      </w:r>
      <w:r w:rsidRPr="094CEDE2">
        <w:rPr>
          <w:rFonts w:ascii="Arial" w:eastAsia="Times" w:hAnsi="Arial"/>
        </w:rPr>
        <w:t xml:space="preserve"> </w:t>
      </w:r>
      <w:r>
        <w:rPr>
          <w:rFonts w:ascii="Arial" w:eastAsia="Times" w:hAnsi="Arial"/>
        </w:rPr>
        <w:t>can further bolster</w:t>
      </w:r>
      <w:r w:rsidRPr="094CEDE2">
        <w:rPr>
          <w:rFonts w:ascii="Arial" w:eastAsia="Times" w:hAnsi="Arial"/>
        </w:rPr>
        <w:t xml:space="preserve"> </w:t>
      </w:r>
      <w:r>
        <w:rPr>
          <w:rFonts w:ascii="Arial" w:eastAsia="Times" w:hAnsi="Arial"/>
        </w:rPr>
        <w:t>the collective consumer voice however</w:t>
      </w:r>
      <w:r w:rsidRPr="094CEDE2">
        <w:rPr>
          <w:rFonts w:ascii="Arial" w:eastAsia="Times" w:hAnsi="Arial"/>
        </w:rPr>
        <w:t xml:space="preserve"> </w:t>
      </w:r>
      <w:r>
        <w:rPr>
          <w:rFonts w:ascii="Arial" w:eastAsia="Times" w:hAnsi="Arial"/>
        </w:rPr>
        <w:t>this should be in addition to rather instead of</w:t>
      </w:r>
      <w:r w:rsidRPr="094CEDE2">
        <w:rPr>
          <w:rFonts w:ascii="Arial" w:eastAsia="Times" w:hAnsi="Arial"/>
        </w:rPr>
        <w:t xml:space="preserve"> engaging individual </w:t>
      </w:r>
      <w:r>
        <w:rPr>
          <w:rFonts w:ascii="Arial" w:eastAsia="Times" w:hAnsi="Arial"/>
        </w:rPr>
        <w:t xml:space="preserve">named </w:t>
      </w:r>
      <w:r w:rsidRPr="094CEDE2">
        <w:rPr>
          <w:rFonts w:ascii="Arial" w:eastAsia="Times" w:hAnsi="Arial"/>
        </w:rPr>
        <w:t xml:space="preserve">consumers. </w:t>
      </w:r>
    </w:p>
    <w:p w14:paraId="35E975DD" w14:textId="77777777" w:rsidR="006A7802" w:rsidRDefault="006A7802" w:rsidP="006A7802">
      <w:pPr>
        <w:rPr>
          <w:rFonts w:ascii="Arial" w:eastAsia="Times" w:hAnsi="Arial"/>
          <w:b/>
          <w:color w:val="365F91" w:themeColor="accent1" w:themeShade="BF"/>
          <w:sz w:val="28"/>
          <w:szCs w:val="28"/>
        </w:rPr>
      </w:pPr>
    </w:p>
    <w:p w14:paraId="585B6438" w14:textId="77777777" w:rsidR="006A7802" w:rsidRPr="007F4C6B" w:rsidRDefault="006A7802" w:rsidP="006A7802">
      <w:pPr>
        <w:rPr>
          <w:rFonts w:ascii="Arial" w:eastAsia="Times" w:hAnsi="Arial"/>
          <w:b/>
          <w:color w:val="365F91" w:themeColor="accent1" w:themeShade="BF"/>
          <w:sz w:val="28"/>
          <w:szCs w:val="28"/>
        </w:rPr>
      </w:pPr>
      <w:r w:rsidRPr="007F4C6B">
        <w:rPr>
          <w:rFonts w:ascii="Arial" w:eastAsia="Times" w:hAnsi="Arial"/>
          <w:b/>
          <w:color w:val="365F91" w:themeColor="accent1" w:themeShade="BF"/>
          <w:sz w:val="28"/>
          <w:szCs w:val="28"/>
        </w:rPr>
        <w:t xml:space="preserve">Advice </w:t>
      </w:r>
      <w:r>
        <w:rPr>
          <w:rFonts w:ascii="Arial" w:eastAsia="Times" w:hAnsi="Arial"/>
          <w:b/>
          <w:color w:val="365F91" w:themeColor="accent1" w:themeShade="BF"/>
          <w:sz w:val="28"/>
          <w:szCs w:val="28"/>
        </w:rPr>
        <w:t xml:space="preserve">to strengthen consumer engagement in cancer research </w:t>
      </w:r>
    </w:p>
    <w:p w14:paraId="45209661" w14:textId="437A562C" w:rsidR="006A7802" w:rsidRDefault="006A7802" w:rsidP="006A7802">
      <w:pPr>
        <w:spacing w:after="120" w:line="270" w:lineRule="atLeast"/>
        <w:rPr>
          <w:rFonts w:ascii="Arial" w:eastAsia="Times" w:hAnsi="Arial"/>
        </w:rPr>
      </w:pPr>
      <w:r w:rsidRPr="00F46747">
        <w:rPr>
          <w:rFonts w:ascii="Arial" w:eastAsia="Times" w:hAnsi="Arial"/>
        </w:rPr>
        <w:t>The guidance provided below is a summary of several years of VCA consumer panel comments and feedback about what constitutes an application with strong evidence of consumer engagement.</w:t>
      </w:r>
      <w:r>
        <w:rPr>
          <w:rFonts w:ascii="Arial" w:eastAsia="Times" w:hAnsi="Arial"/>
        </w:rPr>
        <w:t xml:space="preserve"> </w:t>
      </w:r>
      <w:r w:rsidR="00EE7217" w:rsidRPr="00947398">
        <w:rPr>
          <w:rFonts w:ascii="Arial" w:eastAsia="Times" w:hAnsi="Arial"/>
        </w:rPr>
        <w:t>This is not intended to be</w:t>
      </w:r>
      <w:r w:rsidR="00884AD9" w:rsidRPr="00947398">
        <w:rPr>
          <w:rFonts w:ascii="Arial" w:eastAsia="Times" w:hAnsi="Arial"/>
        </w:rPr>
        <w:t xml:space="preserve"> a mandated list</w:t>
      </w:r>
      <w:r w:rsidR="00614FE4" w:rsidRPr="00947398">
        <w:rPr>
          <w:rFonts w:ascii="Arial" w:eastAsia="Times" w:hAnsi="Arial"/>
        </w:rPr>
        <w:t>, rather general advice that may strengthen application</w:t>
      </w:r>
      <w:r w:rsidR="007E37BA" w:rsidRPr="00947398">
        <w:rPr>
          <w:rFonts w:ascii="Arial" w:eastAsia="Times" w:hAnsi="Arial"/>
        </w:rPr>
        <w:t>s.</w:t>
      </w:r>
      <w:r w:rsidR="007E37BA">
        <w:rPr>
          <w:rFonts w:ascii="Arial" w:eastAsia="Times" w:hAnsi="Arial"/>
        </w:rPr>
        <w:t xml:space="preserve"> </w:t>
      </w:r>
      <w:r>
        <w:rPr>
          <w:rFonts w:ascii="Arial" w:eastAsia="Times" w:hAnsi="Arial"/>
        </w:rPr>
        <w:t>This includes:</w:t>
      </w:r>
      <w:r w:rsidRPr="00BC410E">
        <w:rPr>
          <w:rFonts w:ascii="Arial" w:eastAsia="Times" w:hAnsi="Arial"/>
        </w:rPr>
        <w:t xml:space="preserve"> </w:t>
      </w:r>
    </w:p>
    <w:p w14:paraId="0E35DF82" w14:textId="77777777" w:rsidR="006A7802" w:rsidRPr="00DF1C28" w:rsidRDefault="006A7802" w:rsidP="006A7802">
      <w:pPr>
        <w:pStyle w:val="ListParagraph"/>
        <w:numPr>
          <w:ilvl w:val="0"/>
          <w:numId w:val="26"/>
        </w:numPr>
        <w:spacing w:after="120" w:line="270" w:lineRule="atLeast"/>
        <w:rPr>
          <w:rFonts w:ascii="Arial" w:eastAsia="Times" w:hAnsi="Arial" w:cs="Times New Roman"/>
          <w:sz w:val="20"/>
          <w:szCs w:val="20"/>
        </w:rPr>
      </w:pPr>
      <w:r w:rsidRPr="006F6703">
        <w:rPr>
          <w:rFonts w:ascii="Arial" w:eastAsia="Times" w:hAnsi="Arial" w:cs="Times New Roman"/>
          <w:sz w:val="20"/>
          <w:szCs w:val="20"/>
        </w:rPr>
        <w:t>E</w:t>
      </w:r>
      <w:r>
        <w:rPr>
          <w:rFonts w:ascii="Arial" w:eastAsia="Times" w:hAnsi="Arial" w:cs="Times New Roman"/>
          <w:sz w:val="20"/>
          <w:szCs w:val="20"/>
        </w:rPr>
        <w:t xml:space="preserve">vidence that </w:t>
      </w:r>
      <w:r w:rsidRPr="006F6703">
        <w:rPr>
          <w:rFonts w:ascii="Arial" w:eastAsia="Times" w:hAnsi="Arial" w:cs="Times New Roman"/>
          <w:sz w:val="20"/>
          <w:szCs w:val="20"/>
        </w:rPr>
        <w:t>consumers</w:t>
      </w:r>
      <w:r>
        <w:rPr>
          <w:rFonts w:ascii="Arial" w:eastAsia="Times" w:hAnsi="Arial" w:cs="Times New Roman"/>
          <w:sz w:val="20"/>
          <w:szCs w:val="20"/>
        </w:rPr>
        <w:t xml:space="preserve"> are an integral part of the team and</w:t>
      </w:r>
      <w:r w:rsidRPr="006F6703">
        <w:rPr>
          <w:rFonts w:ascii="Arial" w:eastAsia="Times" w:hAnsi="Arial" w:cs="Times New Roman"/>
          <w:sz w:val="20"/>
          <w:szCs w:val="20"/>
        </w:rPr>
        <w:t xml:space="preserve"> involved in all stages of research </w:t>
      </w:r>
      <w:r>
        <w:rPr>
          <w:rFonts w:ascii="Arial" w:eastAsia="Times" w:hAnsi="Arial" w:cs="Times New Roman"/>
          <w:sz w:val="20"/>
          <w:szCs w:val="20"/>
        </w:rPr>
        <w:t>e.g.</w:t>
      </w:r>
      <w:r w:rsidRPr="006F6703">
        <w:rPr>
          <w:rFonts w:ascii="Arial" w:eastAsia="Times" w:hAnsi="Arial" w:cs="Times New Roman"/>
          <w:sz w:val="20"/>
          <w:szCs w:val="20"/>
        </w:rPr>
        <w:t>, planning, development of the research question, project development, grant applications, governance, data collection and analysis, reporting and dissemination and communication of results, and translation of research into practice.</w:t>
      </w:r>
      <w:r>
        <w:rPr>
          <w:rFonts w:ascii="Arial" w:eastAsia="Times" w:hAnsi="Arial" w:cs="Times New Roman"/>
          <w:sz w:val="20"/>
          <w:szCs w:val="20"/>
        </w:rPr>
        <w:t xml:space="preserve"> </w:t>
      </w:r>
    </w:p>
    <w:p w14:paraId="43CC30A7" w14:textId="77777777" w:rsidR="006A7802" w:rsidRDefault="006A7802" w:rsidP="006A7802">
      <w:pPr>
        <w:pStyle w:val="ListParagraph"/>
        <w:numPr>
          <w:ilvl w:val="0"/>
          <w:numId w:val="26"/>
        </w:numPr>
        <w:spacing w:after="120" w:line="270" w:lineRule="atLeast"/>
        <w:rPr>
          <w:rFonts w:ascii="Arial" w:eastAsia="Times" w:hAnsi="Arial" w:cs="Times New Roman"/>
          <w:sz w:val="20"/>
          <w:szCs w:val="20"/>
        </w:rPr>
      </w:pPr>
      <w:r w:rsidRPr="006F6703">
        <w:rPr>
          <w:rFonts w:ascii="Arial" w:eastAsia="Times" w:hAnsi="Arial" w:cs="Times New Roman"/>
          <w:sz w:val="20"/>
          <w:szCs w:val="20"/>
        </w:rPr>
        <w:t>Establish</w:t>
      </w:r>
      <w:r>
        <w:rPr>
          <w:rFonts w:ascii="Arial" w:eastAsia="Times" w:hAnsi="Arial" w:cs="Times New Roman"/>
          <w:sz w:val="20"/>
          <w:szCs w:val="20"/>
        </w:rPr>
        <w:t>ed</w:t>
      </w:r>
      <w:r w:rsidRPr="006F6703">
        <w:rPr>
          <w:rFonts w:ascii="Arial" w:eastAsia="Times" w:hAnsi="Arial" w:cs="Times New Roman"/>
          <w:sz w:val="20"/>
          <w:szCs w:val="20"/>
        </w:rPr>
        <w:t xml:space="preserve"> long-term relationships with consumers</w:t>
      </w:r>
      <w:r>
        <w:rPr>
          <w:rFonts w:ascii="Arial" w:eastAsia="Times" w:hAnsi="Arial" w:cs="Times New Roman"/>
          <w:sz w:val="20"/>
          <w:szCs w:val="20"/>
        </w:rPr>
        <w:t xml:space="preserve"> and details on how this developed and is/will be sustained.</w:t>
      </w:r>
      <w:r w:rsidRPr="0023557F">
        <w:rPr>
          <w:rFonts w:ascii="Arial" w:eastAsia="Times" w:hAnsi="Arial" w:cs="Times New Roman"/>
          <w:sz w:val="20"/>
          <w:szCs w:val="20"/>
        </w:rPr>
        <w:t xml:space="preserve"> </w:t>
      </w:r>
    </w:p>
    <w:p w14:paraId="0B7359E0" w14:textId="783FF2A6" w:rsidR="006A7802" w:rsidRPr="00152C43" w:rsidRDefault="00D42EA6" w:rsidP="006A7802">
      <w:pPr>
        <w:pStyle w:val="ListParagraph"/>
        <w:numPr>
          <w:ilvl w:val="0"/>
          <w:numId w:val="26"/>
        </w:numPr>
        <w:spacing w:after="120" w:line="270" w:lineRule="atLeast"/>
        <w:rPr>
          <w:rFonts w:ascii="Arial" w:eastAsia="Times" w:hAnsi="Arial" w:cs="Times New Roman"/>
          <w:sz w:val="20"/>
          <w:szCs w:val="20"/>
        </w:rPr>
      </w:pPr>
      <w:r>
        <w:rPr>
          <w:rFonts w:ascii="Arial" w:eastAsia="Times" w:hAnsi="Arial" w:cs="Times New Roman"/>
          <w:sz w:val="20"/>
          <w:szCs w:val="20"/>
        </w:rPr>
        <w:t>D</w:t>
      </w:r>
      <w:r w:rsidR="006A7802" w:rsidRPr="006F6703">
        <w:rPr>
          <w:rFonts w:ascii="Arial" w:eastAsia="Times" w:hAnsi="Arial" w:cs="Times New Roman"/>
          <w:sz w:val="20"/>
          <w:szCs w:val="20"/>
        </w:rPr>
        <w:t>escribe the consumer role clearly</w:t>
      </w:r>
      <w:r w:rsidR="006A7802">
        <w:rPr>
          <w:rFonts w:ascii="Arial" w:eastAsia="Times" w:hAnsi="Arial" w:cs="Times New Roman"/>
          <w:sz w:val="20"/>
          <w:szCs w:val="20"/>
        </w:rPr>
        <w:t xml:space="preserve">. </w:t>
      </w:r>
      <w:r w:rsidR="006A7802" w:rsidRPr="00401384">
        <w:rPr>
          <w:rFonts w:ascii="Arial" w:eastAsia="Times" w:hAnsi="Arial" w:cs="Times New Roman"/>
          <w:sz w:val="20"/>
          <w:szCs w:val="20"/>
        </w:rPr>
        <w:t xml:space="preserve">Provide evidence of the depth of consumer and community involvement. Be clear about what the plan is for consumers and community engagement over the life of the project. </w:t>
      </w:r>
    </w:p>
    <w:p w14:paraId="634BACBB" w14:textId="77777777" w:rsidR="006A7802" w:rsidRPr="003A24E2" w:rsidRDefault="006A7802" w:rsidP="006A7802">
      <w:pPr>
        <w:pStyle w:val="ListParagraph"/>
        <w:numPr>
          <w:ilvl w:val="0"/>
          <w:numId w:val="26"/>
        </w:numPr>
        <w:spacing w:after="120" w:line="270" w:lineRule="atLeast"/>
        <w:rPr>
          <w:rFonts w:ascii="Arial" w:eastAsia="Times" w:hAnsi="Arial" w:cs="Times New Roman"/>
          <w:sz w:val="20"/>
          <w:szCs w:val="20"/>
        </w:rPr>
      </w:pPr>
      <w:r w:rsidRPr="006F6703">
        <w:rPr>
          <w:rFonts w:ascii="Arial" w:eastAsia="Times" w:hAnsi="Arial" w:cs="Times New Roman"/>
          <w:sz w:val="20"/>
          <w:szCs w:val="20"/>
        </w:rPr>
        <w:t xml:space="preserve">Consumer component </w:t>
      </w:r>
      <w:r>
        <w:rPr>
          <w:rFonts w:ascii="Arial" w:eastAsia="Times" w:hAnsi="Arial" w:cs="Times New Roman"/>
          <w:sz w:val="20"/>
          <w:szCs w:val="20"/>
        </w:rPr>
        <w:t xml:space="preserve">is clear, </w:t>
      </w:r>
      <w:r w:rsidRPr="006F6703">
        <w:rPr>
          <w:rFonts w:ascii="Arial" w:eastAsia="Times" w:hAnsi="Arial" w:cs="Times New Roman"/>
          <w:sz w:val="20"/>
          <w:szCs w:val="20"/>
        </w:rPr>
        <w:t>well written</w:t>
      </w:r>
      <w:r>
        <w:rPr>
          <w:rFonts w:ascii="Arial" w:eastAsia="Times" w:hAnsi="Arial" w:cs="Times New Roman"/>
          <w:sz w:val="20"/>
          <w:szCs w:val="20"/>
        </w:rPr>
        <w:t>,</w:t>
      </w:r>
      <w:r w:rsidRPr="006F6703">
        <w:rPr>
          <w:rFonts w:ascii="Arial" w:eastAsia="Times" w:hAnsi="Arial" w:cs="Times New Roman"/>
          <w:sz w:val="20"/>
          <w:szCs w:val="20"/>
        </w:rPr>
        <w:t xml:space="preserve"> easy to understand</w:t>
      </w:r>
      <w:r>
        <w:rPr>
          <w:rFonts w:ascii="Arial" w:eastAsia="Times" w:hAnsi="Arial" w:cs="Times New Roman"/>
          <w:sz w:val="20"/>
          <w:szCs w:val="20"/>
        </w:rPr>
        <w:t xml:space="preserve"> and in lay terms</w:t>
      </w:r>
      <w:r w:rsidRPr="006F6703">
        <w:rPr>
          <w:rFonts w:ascii="Arial" w:eastAsia="Times" w:hAnsi="Arial" w:cs="Times New Roman"/>
          <w:sz w:val="20"/>
          <w:szCs w:val="20"/>
        </w:rPr>
        <w:t>.</w:t>
      </w:r>
      <w:r>
        <w:rPr>
          <w:rFonts w:ascii="Arial" w:eastAsia="Times" w:hAnsi="Arial" w:cs="Times New Roman"/>
          <w:sz w:val="20"/>
          <w:szCs w:val="20"/>
        </w:rPr>
        <w:t xml:space="preserve"> </w:t>
      </w:r>
      <w:proofErr w:type="gramStart"/>
      <w:r>
        <w:rPr>
          <w:rFonts w:ascii="Arial" w:eastAsia="Times" w:hAnsi="Arial" w:cs="Times New Roman"/>
          <w:sz w:val="20"/>
          <w:szCs w:val="20"/>
        </w:rPr>
        <w:t>Clearly evident</w:t>
      </w:r>
      <w:proofErr w:type="gramEnd"/>
      <w:r>
        <w:rPr>
          <w:rFonts w:ascii="Arial" w:eastAsia="Times" w:hAnsi="Arial" w:cs="Times New Roman"/>
          <w:sz w:val="20"/>
          <w:szCs w:val="20"/>
        </w:rPr>
        <w:t xml:space="preserve"> that consumer/s have read the grant and provided advice on how to convey technical terminology. Use of clear diagrams and figures to explain technical concepts.</w:t>
      </w:r>
    </w:p>
    <w:p w14:paraId="692E7146" w14:textId="77777777" w:rsidR="006A7802" w:rsidRDefault="006A7802" w:rsidP="006A7802">
      <w:pPr>
        <w:pStyle w:val="ListParagraph"/>
        <w:numPr>
          <w:ilvl w:val="0"/>
          <w:numId w:val="26"/>
        </w:numPr>
        <w:spacing w:after="120" w:line="270" w:lineRule="atLeast"/>
        <w:rPr>
          <w:rFonts w:ascii="Arial" w:eastAsia="Times" w:hAnsi="Arial" w:cs="Times New Roman"/>
          <w:sz w:val="20"/>
          <w:szCs w:val="20"/>
        </w:rPr>
      </w:pPr>
      <w:r>
        <w:rPr>
          <w:rFonts w:ascii="Arial" w:eastAsia="Times" w:hAnsi="Arial" w:cs="Times New Roman"/>
          <w:sz w:val="20"/>
          <w:szCs w:val="20"/>
        </w:rPr>
        <w:t xml:space="preserve">Applicants </w:t>
      </w:r>
      <w:r w:rsidRPr="005F1112">
        <w:rPr>
          <w:rFonts w:ascii="Arial" w:eastAsia="Times" w:hAnsi="Arial" w:cs="Times New Roman"/>
          <w:sz w:val="20"/>
          <w:szCs w:val="20"/>
        </w:rPr>
        <w:t xml:space="preserve">include </w:t>
      </w:r>
      <w:r>
        <w:rPr>
          <w:rFonts w:ascii="Arial" w:eastAsia="Times" w:hAnsi="Arial" w:cs="Times New Roman"/>
          <w:sz w:val="20"/>
          <w:szCs w:val="20"/>
        </w:rPr>
        <w:t xml:space="preserve">a </w:t>
      </w:r>
      <w:r w:rsidRPr="005F1112">
        <w:rPr>
          <w:rFonts w:ascii="Arial" w:eastAsia="Times" w:hAnsi="Arial" w:cs="Times New Roman"/>
          <w:sz w:val="20"/>
          <w:szCs w:val="20"/>
        </w:rPr>
        <w:t>budget allocation for consumer and community engagement, e.</w:t>
      </w:r>
      <w:r>
        <w:rPr>
          <w:rFonts w:ascii="Arial" w:eastAsia="Times" w:hAnsi="Arial" w:cs="Times New Roman"/>
          <w:sz w:val="20"/>
          <w:szCs w:val="20"/>
        </w:rPr>
        <w:t>g.</w:t>
      </w:r>
      <w:r w:rsidRPr="005F1112">
        <w:rPr>
          <w:rFonts w:ascii="Arial" w:eastAsia="Times" w:hAnsi="Arial" w:cs="Times New Roman"/>
          <w:sz w:val="20"/>
          <w:szCs w:val="20"/>
        </w:rPr>
        <w:t xml:space="preserve">, reimbursement for travel, </w:t>
      </w:r>
      <w:proofErr w:type="gramStart"/>
      <w:r w:rsidRPr="005F1112">
        <w:rPr>
          <w:rFonts w:ascii="Arial" w:eastAsia="Times" w:hAnsi="Arial" w:cs="Times New Roman"/>
          <w:sz w:val="20"/>
          <w:szCs w:val="20"/>
        </w:rPr>
        <w:t>parking</w:t>
      </w:r>
      <w:proofErr w:type="gramEnd"/>
      <w:r w:rsidRPr="005F1112">
        <w:rPr>
          <w:rFonts w:ascii="Arial" w:eastAsia="Times" w:hAnsi="Arial" w:cs="Times New Roman"/>
          <w:sz w:val="20"/>
          <w:szCs w:val="20"/>
        </w:rPr>
        <w:t xml:space="preserve"> and other costs; training and conference attendance; and renumeration for an individual’s time</w:t>
      </w:r>
      <w:r>
        <w:rPr>
          <w:rFonts w:ascii="Arial" w:eastAsia="Times" w:hAnsi="Arial" w:cs="Times New Roman"/>
          <w:sz w:val="20"/>
          <w:szCs w:val="20"/>
        </w:rPr>
        <w:t>.</w:t>
      </w:r>
    </w:p>
    <w:p w14:paraId="35BC877C" w14:textId="0E1ECAE6" w:rsidR="006A7802" w:rsidRPr="00647524" w:rsidRDefault="006A7802" w:rsidP="006A7802">
      <w:pPr>
        <w:pStyle w:val="ListParagraph"/>
        <w:numPr>
          <w:ilvl w:val="0"/>
          <w:numId w:val="26"/>
        </w:numPr>
        <w:spacing w:after="120" w:line="270" w:lineRule="atLeast"/>
        <w:rPr>
          <w:rFonts w:ascii="Arial" w:eastAsia="Times" w:hAnsi="Arial" w:cs="Times New Roman"/>
          <w:sz w:val="20"/>
          <w:szCs w:val="20"/>
        </w:rPr>
      </w:pPr>
      <w:r>
        <w:rPr>
          <w:rFonts w:ascii="Arial" w:eastAsia="Times" w:hAnsi="Arial" w:cs="Times New Roman"/>
          <w:sz w:val="20"/>
          <w:szCs w:val="20"/>
        </w:rPr>
        <w:t>A clear explanation on</w:t>
      </w:r>
      <w:r w:rsidRPr="006F6703">
        <w:rPr>
          <w:rFonts w:ascii="Arial" w:eastAsia="Times" w:hAnsi="Arial" w:cs="Times New Roman"/>
          <w:sz w:val="20"/>
          <w:szCs w:val="20"/>
        </w:rPr>
        <w:t xml:space="preserve"> </w:t>
      </w:r>
      <w:r>
        <w:rPr>
          <w:rFonts w:ascii="Arial" w:eastAsia="Times" w:hAnsi="Arial" w:cs="Times New Roman"/>
          <w:sz w:val="20"/>
          <w:szCs w:val="20"/>
        </w:rPr>
        <w:t xml:space="preserve">how equity and diversity have </w:t>
      </w:r>
      <w:r w:rsidRPr="006F6703">
        <w:rPr>
          <w:rFonts w:ascii="Arial" w:eastAsia="Times" w:hAnsi="Arial" w:cs="Times New Roman"/>
          <w:sz w:val="20"/>
          <w:szCs w:val="20"/>
        </w:rPr>
        <w:t xml:space="preserve">been considered </w:t>
      </w:r>
      <w:r w:rsidR="00F46747">
        <w:rPr>
          <w:rFonts w:ascii="Arial" w:eastAsia="Times" w:hAnsi="Arial" w:cs="Times New Roman"/>
          <w:sz w:val="20"/>
          <w:szCs w:val="20"/>
        </w:rPr>
        <w:t xml:space="preserve">thoroughly </w:t>
      </w:r>
      <w:r w:rsidRPr="006F6703">
        <w:rPr>
          <w:rFonts w:ascii="Arial" w:eastAsia="Times" w:hAnsi="Arial" w:cs="Times New Roman"/>
          <w:sz w:val="20"/>
          <w:szCs w:val="20"/>
        </w:rPr>
        <w:t>for rural</w:t>
      </w:r>
      <w:r>
        <w:rPr>
          <w:rFonts w:ascii="Arial" w:eastAsia="Times" w:hAnsi="Arial" w:cs="Times New Roman"/>
          <w:sz w:val="20"/>
          <w:szCs w:val="20"/>
        </w:rPr>
        <w:t>/</w:t>
      </w:r>
      <w:r w:rsidRPr="006F6703">
        <w:rPr>
          <w:rFonts w:ascii="Arial" w:eastAsia="Times" w:hAnsi="Arial" w:cs="Times New Roman"/>
          <w:sz w:val="20"/>
          <w:szCs w:val="20"/>
        </w:rPr>
        <w:t>regional and diverse populations. Consider</w:t>
      </w:r>
      <w:r>
        <w:rPr>
          <w:rFonts w:ascii="Arial" w:eastAsia="Times" w:hAnsi="Arial" w:cs="Times New Roman"/>
          <w:sz w:val="20"/>
          <w:szCs w:val="20"/>
        </w:rPr>
        <w:t>ation of</w:t>
      </w:r>
      <w:r w:rsidRPr="006F6703">
        <w:rPr>
          <w:rFonts w:ascii="Arial" w:eastAsia="Times" w:hAnsi="Arial" w:cs="Times New Roman"/>
          <w:sz w:val="20"/>
          <w:szCs w:val="20"/>
        </w:rPr>
        <w:t xml:space="preserve"> equity of impact o</w:t>
      </w:r>
      <w:r>
        <w:rPr>
          <w:rFonts w:ascii="Arial" w:eastAsia="Times" w:hAnsi="Arial" w:cs="Times New Roman"/>
          <w:sz w:val="20"/>
          <w:szCs w:val="20"/>
        </w:rPr>
        <w:t>n</w:t>
      </w:r>
      <w:r w:rsidRPr="006F6703">
        <w:rPr>
          <w:rFonts w:ascii="Arial" w:eastAsia="Times" w:hAnsi="Arial" w:cs="Times New Roman"/>
          <w:sz w:val="20"/>
          <w:szCs w:val="20"/>
        </w:rPr>
        <w:t xml:space="preserve"> rural</w:t>
      </w:r>
      <w:r>
        <w:rPr>
          <w:rFonts w:ascii="Arial" w:eastAsia="Times" w:hAnsi="Arial" w:cs="Times New Roman"/>
          <w:sz w:val="20"/>
          <w:szCs w:val="20"/>
        </w:rPr>
        <w:t>/</w:t>
      </w:r>
      <w:r w:rsidRPr="006F6703">
        <w:rPr>
          <w:rFonts w:ascii="Arial" w:eastAsia="Times" w:hAnsi="Arial" w:cs="Times New Roman"/>
          <w:sz w:val="20"/>
          <w:szCs w:val="20"/>
        </w:rPr>
        <w:t>regional</w:t>
      </w:r>
      <w:r>
        <w:rPr>
          <w:rFonts w:ascii="Arial" w:eastAsia="Times" w:hAnsi="Arial" w:cs="Times New Roman"/>
          <w:sz w:val="20"/>
          <w:szCs w:val="20"/>
        </w:rPr>
        <w:t xml:space="preserve"> areas</w:t>
      </w:r>
      <w:r w:rsidRPr="006F6703">
        <w:rPr>
          <w:rFonts w:ascii="Arial" w:eastAsia="Times" w:hAnsi="Arial" w:cs="Times New Roman"/>
          <w:sz w:val="20"/>
          <w:szCs w:val="20"/>
        </w:rPr>
        <w:t>.</w:t>
      </w:r>
    </w:p>
    <w:p w14:paraId="1CA67FF5" w14:textId="4E5A82B1" w:rsidR="006A7802" w:rsidRDefault="006A7802" w:rsidP="006A7802">
      <w:pPr>
        <w:pStyle w:val="ListParagraph"/>
        <w:numPr>
          <w:ilvl w:val="0"/>
          <w:numId w:val="26"/>
        </w:numPr>
        <w:spacing w:after="120" w:line="270" w:lineRule="atLeast"/>
        <w:rPr>
          <w:rFonts w:ascii="Arial" w:eastAsia="Times" w:hAnsi="Arial" w:cs="Times New Roman"/>
          <w:sz w:val="20"/>
          <w:szCs w:val="20"/>
        </w:rPr>
      </w:pPr>
      <w:r w:rsidRPr="006F6703">
        <w:rPr>
          <w:rFonts w:ascii="Arial" w:eastAsia="Times" w:hAnsi="Arial" w:cs="Times New Roman"/>
          <w:sz w:val="20"/>
          <w:szCs w:val="20"/>
        </w:rPr>
        <w:t>C</w:t>
      </w:r>
      <w:r>
        <w:rPr>
          <w:rFonts w:ascii="Arial" w:eastAsia="Times" w:hAnsi="Arial" w:cs="Times New Roman"/>
          <w:sz w:val="20"/>
          <w:szCs w:val="20"/>
        </w:rPr>
        <w:t>lear explanation of</w:t>
      </w:r>
      <w:r w:rsidRPr="006F6703">
        <w:rPr>
          <w:rFonts w:ascii="Arial" w:eastAsia="Times" w:hAnsi="Arial" w:cs="Times New Roman"/>
          <w:sz w:val="20"/>
          <w:szCs w:val="20"/>
        </w:rPr>
        <w:t xml:space="preserve"> how research will </w:t>
      </w:r>
      <w:r>
        <w:rPr>
          <w:rFonts w:ascii="Arial" w:eastAsia="Times" w:hAnsi="Arial" w:cs="Times New Roman"/>
          <w:sz w:val="20"/>
          <w:szCs w:val="20"/>
        </w:rPr>
        <w:t xml:space="preserve">specifically </w:t>
      </w:r>
      <w:r w:rsidRPr="006F6703">
        <w:rPr>
          <w:rFonts w:ascii="Arial" w:eastAsia="Times" w:hAnsi="Arial" w:cs="Times New Roman"/>
          <w:sz w:val="20"/>
          <w:szCs w:val="20"/>
        </w:rPr>
        <w:t>impact the community and individuals</w:t>
      </w:r>
      <w:r>
        <w:rPr>
          <w:rFonts w:ascii="Arial" w:eastAsia="Times" w:hAnsi="Arial" w:cs="Times New Roman"/>
          <w:sz w:val="20"/>
          <w:szCs w:val="20"/>
        </w:rPr>
        <w:t xml:space="preserve"> in both short- and long-term timeframes. </w:t>
      </w:r>
      <w:r w:rsidRPr="003A24E2">
        <w:rPr>
          <w:rFonts w:ascii="Arial" w:eastAsia="Times" w:hAnsi="Arial" w:cs="Times New Roman"/>
          <w:sz w:val="20"/>
          <w:szCs w:val="20"/>
        </w:rPr>
        <w:t>Outline the benefits to the community if the research is successful.</w:t>
      </w:r>
    </w:p>
    <w:p w14:paraId="3A87A0A9" w14:textId="77777777" w:rsidR="006A7802" w:rsidRPr="006F6703" w:rsidRDefault="006A7802" w:rsidP="006A7802">
      <w:pPr>
        <w:pStyle w:val="ListParagraph"/>
        <w:numPr>
          <w:ilvl w:val="0"/>
          <w:numId w:val="26"/>
        </w:numPr>
        <w:spacing w:after="120" w:line="270" w:lineRule="atLeast"/>
        <w:rPr>
          <w:rFonts w:ascii="Arial" w:eastAsia="Times" w:hAnsi="Arial" w:cs="Times New Roman"/>
          <w:sz w:val="20"/>
          <w:szCs w:val="20"/>
        </w:rPr>
      </w:pPr>
      <w:r w:rsidRPr="006F6703">
        <w:rPr>
          <w:rFonts w:ascii="Arial" w:eastAsia="Times" w:hAnsi="Arial" w:cs="Times New Roman"/>
          <w:sz w:val="20"/>
          <w:szCs w:val="20"/>
        </w:rPr>
        <w:t>Name</w:t>
      </w:r>
      <w:r>
        <w:rPr>
          <w:rFonts w:ascii="Arial" w:eastAsia="Times" w:hAnsi="Arial" w:cs="Times New Roman"/>
          <w:sz w:val="20"/>
          <w:szCs w:val="20"/>
        </w:rPr>
        <w:t xml:space="preserve"> of </w:t>
      </w:r>
      <w:r w:rsidRPr="006F6703">
        <w:rPr>
          <w:rFonts w:ascii="Arial" w:eastAsia="Times" w:hAnsi="Arial" w:cs="Times New Roman"/>
          <w:sz w:val="20"/>
          <w:szCs w:val="20"/>
        </w:rPr>
        <w:t>community organisations, networks and support groups who have been engaged</w:t>
      </w:r>
      <w:r>
        <w:rPr>
          <w:rFonts w:ascii="Arial" w:eastAsia="Times" w:hAnsi="Arial" w:cs="Times New Roman"/>
          <w:sz w:val="20"/>
          <w:szCs w:val="20"/>
        </w:rPr>
        <w:t xml:space="preserve"> and details on their specific involvement</w:t>
      </w:r>
      <w:r w:rsidRPr="006F6703">
        <w:rPr>
          <w:rFonts w:ascii="Arial" w:eastAsia="Times" w:hAnsi="Arial" w:cs="Times New Roman"/>
          <w:sz w:val="20"/>
          <w:szCs w:val="20"/>
        </w:rPr>
        <w:t>.</w:t>
      </w:r>
    </w:p>
    <w:p w14:paraId="002B5841" w14:textId="77777777" w:rsidR="006A7802" w:rsidRPr="00BC66D6" w:rsidRDefault="006A7802" w:rsidP="006A7802">
      <w:pPr>
        <w:pStyle w:val="ListParagraph"/>
        <w:numPr>
          <w:ilvl w:val="0"/>
          <w:numId w:val="26"/>
        </w:numPr>
        <w:spacing w:after="120" w:line="270" w:lineRule="atLeast"/>
        <w:rPr>
          <w:rFonts w:ascii="Arial" w:eastAsia="Times" w:hAnsi="Arial" w:cs="Times New Roman"/>
          <w:sz w:val="20"/>
          <w:szCs w:val="20"/>
        </w:rPr>
      </w:pPr>
      <w:r w:rsidRPr="00423FAA">
        <w:rPr>
          <w:rFonts w:ascii="Arial" w:eastAsia="Times" w:hAnsi="Arial" w:cs="Times New Roman"/>
          <w:sz w:val="20"/>
          <w:szCs w:val="20"/>
        </w:rPr>
        <w:t xml:space="preserve">Consumers engaged represent a breadth and depth of experience and knowledge that enhances </w:t>
      </w:r>
      <w:r w:rsidRPr="00BC66D6">
        <w:rPr>
          <w:rFonts w:ascii="Arial" w:eastAsia="Times" w:hAnsi="Arial" w:cs="Times New Roman"/>
          <w:sz w:val="20"/>
          <w:szCs w:val="20"/>
        </w:rPr>
        <w:t>the research project. Provision of rationale for the choice of consumers, describing the consumer/s knowledge, experience and background that informs the research.</w:t>
      </w:r>
      <w:r w:rsidRPr="00BC66D6">
        <w:t xml:space="preserve"> </w:t>
      </w:r>
    </w:p>
    <w:p w14:paraId="19E55576" w14:textId="77777777" w:rsidR="006A7802" w:rsidRPr="00BC66D6" w:rsidRDefault="006A7802" w:rsidP="006A7802">
      <w:pPr>
        <w:pStyle w:val="ListParagraph"/>
        <w:numPr>
          <w:ilvl w:val="0"/>
          <w:numId w:val="26"/>
        </w:numPr>
        <w:spacing w:after="120" w:line="270" w:lineRule="atLeast"/>
        <w:rPr>
          <w:rFonts w:ascii="Arial" w:eastAsia="Times" w:hAnsi="Arial" w:cs="Times New Roman"/>
          <w:sz w:val="20"/>
          <w:szCs w:val="20"/>
        </w:rPr>
      </w:pPr>
      <w:r w:rsidRPr="00BC66D6">
        <w:rPr>
          <w:rFonts w:ascii="Arial" w:eastAsia="Times" w:hAnsi="Arial" w:cs="Times New Roman"/>
          <w:sz w:val="20"/>
          <w:szCs w:val="20"/>
        </w:rPr>
        <w:t xml:space="preserve">Inclusion of consumers in meetings and on committees, including setting up a specific meeting schedule to allow for consumer feedback, </w:t>
      </w:r>
      <w:proofErr w:type="gramStart"/>
      <w:r w:rsidRPr="00BC66D6">
        <w:rPr>
          <w:rFonts w:ascii="Arial" w:eastAsia="Times" w:hAnsi="Arial" w:cs="Times New Roman"/>
          <w:sz w:val="20"/>
          <w:szCs w:val="20"/>
        </w:rPr>
        <w:t>review</w:t>
      </w:r>
      <w:proofErr w:type="gramEnd"/>
      <w:r w:rsidRPr="00BC66D6">
        <w:rPr>
          <w:rFonts w:ascii="Arial" w:eastAsia="Times" w:hAnsi="Arial" w:cs="Times New Roman"/>
          <w:sz w:val="20"/>
          <w:szCs w:val="20"/>
        </w:rPr>
        <w:t xml:space="preserve"> and update (at least quarterly); research/project meetings; clinical trial committees; planning meetings and advisory groups.</w:t>
      </w:r>
    </w:p>
    <w:p w14:paraId="0E0C4AEA" w14:textId="707A9525" w:rsidR="006A7802" w:rsidRPr="00BC66D6" w:rsidRDefault="006A7802" w:rsidP="006A7802">
      <w:pPr>
        <w:pStyle w:val="ListParagraph"/>
        <w:numPr>
          <w:ilvl w:val="0"/>
          <w:numId w:val="26"/>
        </w:numPr>
        <w:spacing w:after="120" w:line="270" w:lineRule="atLeast"/>
        <w:rPr>
          <w:rFonts w:ascii="Arial" w:eastAsia="Times" w:hAnsi="Arial" w:cs="Times New Roman"/>
          <w:sz w:val="20"/>
          <w:szCs w:val="20"/>
        </w:rPr>
      </w:pPr>
      <w:r w:rsidRPr="00BC66D6">
        <w:rPr>
          <w:rFonts w:ascii="Arial" w:eastAsia="Times" w:hAnsi="Arial" w:cs="Times New Roman"/>
          <w:sz w:val="20"/>
          <w:szCs w:val="20"/>
        </w:rPr>
        <w:lastRenderedPageBreak/>
        <w:t>Consumers involved in communication of results, e.g., invited to present at lab meetings, launch events</w:t>
      </w:r>
      <w:r>
        <w:rPr>
          <w:rFonts w:ascii="Arial" w:eastAsia="Times" w:hAnsi="Arial" w:cs="Times New Roman"/>
          <w:sz w:val="20"/>
          <w:szCs w:val="20"/>
        </w:rPr>
        <w:t xml:space="preserve">, fundraising </w:t>
      </w:r>
      <w:proofErr w:type="gramStart"/>
      <w:r>
        <w:rPr>
          <w:rFonts w:ascii="Arial" w:eastAsia="Times" w:hAnsi="Arial" w:cs="Times New Roman"/>
          <w:sz w:val="20"/>
          <w:szCs w:val="20"/>
        </w:rPr>
        <w:t>opportunities</w:t>
      </w:r>
      <w:proofErr w:type="gramEnd"/>
      <w:r w:rsidRPr="00BC66D6">
        <w:rPr>
          <w:rFonts w:ascii="Arial" w:eastAsia="Times" w:hAnsi="Arial" w:cs="Times New Roman"/>
          <w:sz w:val="20"/>
          <w:szCs w:val="20"/>
        </w:rPr>
        <w:t xml:space="preserve"> or conferences</w:t>
      </w:r>
      <w:r w:rsidR="00DF4D73">
        <w:rPr>
          <w:rFonts w:ascii="Arial" w:eastAsia="Times" w:hAnsi="Arial" w:cs="Times New Roman"/>
          <w:sz w:val="20"/>
          <w:szCs w:val="20"/>
        </w:rPr>
        <w:t xml:space="preserve">, </w:t>
      </w:r>
      <w:r w:rsidR="009C757A">
        <w:rPr>
          <w:rFonts w:ascii="Arial" w:eastAsia="Times" w:hAnsi="Arial" w:cs="Times New Roman"/>
          <w:sz w:val="20"/>
          <w:szCs w:val="20"/>
        </w:rPr>
        <w:t xml:space="preserve">and/or </w:t>
      </w:r>
      <w:r w:rsidR="00635CDA">
        <w:rPr>
          <w:rFonts w:ascii="Arial" w:eastAsia="Times" w:hAnsi="Arial" w:cs="Times New Roman"/>
          <w:sz w:val="20"/>
          <w:szCs w:val="20"/>
        </w:rPr>
        <w:t xml:space="preserve">present to </w:t>
      </w:r>
      <w:r w:rsidR="009C757A">
        <w:rPr>
          <w:rFonts w:ascii="Arial" w:eastAsia="Times" w:hAnsi="Arial" w:cs="Times New Roman"/>
          <w:sz w:val="20"/>
          <w:szCs w:val="20"/>
        </w:rPr>
        <w:t>cancer</w:t>
      </w:r>
      <w:r w:rsidR="008200C5">
        <w:rPr>
          <w:rFonts w:ascii="Arial" w:eastAsia="Times" w:hAnsi="Arial" w:cs="Times New Roman"/>
          <w:sz w:val="20"/>
          <w:szCs w:val="20"/>
        </w:rPr>
        <w:t xml:space="preserve"> related support groups </w:t>
      </w:r>
      <w:r w:rsidR="009C757A">
        <w:rPr>
          <w:rFonts w:ascii="Arial" w:eastAsia="Times" w:hAnsi="Arial" w:cs="Times New Roman"/>
          <w:sz w:val="20"/>
          <w:szCs w:val="20"/>
        </w:rPr>
        <w:t>they are affiliated with</w:t>
      </w:r>
      <w:r w:rsidRPr="00BC66D6">
        <w:rPr>
          <w:rFonts w:ascii="Arial" w:eastAsia="Times" w:hAnsi="Arial" w:cs="Times New Roman"/>
          <w:sz w:val="20"/>
          <w:szCs w:val="20"/>
        </w:rPr>
        <w:t>.</w:t>
      </w:r>
    </w:p>
    <w:p w14:paraId="08A2B9F3" w14:textId="77777777" w:rsidR="006A7802" w:rsidRDefault="006A7802" w:rsidP="006A7802">
      <w:pPr>
        <w:pStyle w:val="ListParagraph"/>
        <w:numPr>
          <w:ilvl w:val="0"/>
          <w:numId w:val="26"/>
        </w:numPr>
        <w:spacing w:after="120" w:line="270" w:lineRule="atLeast"/>
        <w:rPr>
          <w:rFonts w:ascii="Arial" w:eastAsia="Times" w:hAnsi="Arial" w:cs="Times New Roman"/>
          <w:sz w:val="20"/>
          <w:szCs w:val="20"/>
        </w:rPr>
      </w:pPr>
      <w:r w:rsidRPr="00BC66D6">
        <w:rPr>
          <w:rFonts w:ascii="Arial" w:eastAsia="Times" w:hAnsi="Arial" w:cs="Times New Roman"/>
          <w:sz w:val="20"/>
          <w:szCs w:val="20"/>
        </w:rPr>
        <w:t>Clear description of the current impact of the cancer on the Australian/Victorian population and provision of</w:t>
      </w:r>
      <w:r w:rsidRPr="007B3EEA">
        <w:rPr>
          <w:rFonts w:ascii="Arial" w:eastAsia="Times" w:hAnsi="Arial" w:cs="Times New Roman"/>
          <w:sz w:val="20"/>
          <w:szCs w:val="20"/>
        </w:rPr>
        <w:t xml:space="preserve"> cancer statistics specifically relevant to Victoria/Australia.</w:t>
      </w:r>
    </w:p>
    <w:p w14:paraId="65C45B20" w14:textId="77777777" w:rsidR="006A7802" w:rsidRPr="000C4D46" w:rsidRDefault="006A7802" w:rsidP="006A7802">
      <w:pPr>
        <w:pStyle w:val="ListParagraph"/>
        <w:numPr>
          <w:ilvl w:val="0"/>
          <w:numId w:val="26"/>
        </w:numPr>
        <w:rPr>
          <w:rFonts w:ascii="Arial" w:eastAsia="Times" w:hAnsi="Arial" w:cs="Times New Roman"/>
          <w:sz w:val="20"/>
          <w:szCs w:val="20"/>
        </w:rPr>
      </w:pPr>
      <w:r w:rsidRPr="000C4D46">
        <w:rPr>
          <w:rFonts w:ascii="Arial" w:eastAsia="Times" w:hAnsi="Arial" w:cs="Times New Roman"/>
          <w:sz w:val="20"/>
          <w:szCs w:val="20"/>
        </w:rPr>
        <w:t>Details on how consumer/s have influenced the project to date with specific examples included in the application of how the project has evolved.</w:t>
      </w:r>
    </w:p>
    <w:p w14:paraId="38E8C155" w14:textId="77777777" w:rsidR="006A7802" w:rsidRDefault="006A7802" w:rsidP="006A7802">
      <w:pPr>
        <w:pStyle w:val="ListParagraph"/>
        <w:numPr>
          <w:ilvl w:val="0"/>
          <w:numId w:val="26"/>
        </w:numPr>
        <w:spacing w:after="120" w:line="270" w:lineRule="atLeast"/>
        <w:rPr>
          <w:rFonts w:ascii="Arial" w:eastAsia="Times" w:hAnsi="Arial" w:cs="Times New Roman"/>
          <w:sz w:val="20"/>
          <w:szCs w:val="20"/>
        </w:rPr>
      </w:pPr>
      <w:r>
        <w:rPr>
          <w:rFonts w:ascii="Arial" w:eastAsia="Times" w:hAnsi="Arial" w:cs="Times New Roman"/>
          <w:sz w:val="20"/>
          <w:szCs w:val="20"/>
        </w:rPr>
        <w:t xml:space="preserve">Laboratory-based and pre-clinical research can demonstrate effective consumer engagement through factoring in toxicity issues with combination therapy and/or dosage, consideration of impact on quality of life on the people receiving the intervention, using repurposed drugs to accelerate access to treatments, and applicability of research to other cancer types.  </w:t>
      </w:r>
    </w:p>
    <w:p w14:paraId="544DBCB5" w14:textId="77777777" w:rsidR="006A7802" w:rsidRPr="00423FAA" w:rsidRDefault="006A7802" w:rsidP="006A7802">
      <w:pPr>
        <w:pStyle w:val="ListParagraph"/>
        <w:numPr>
          <w:ilvl w:val="0"/>
          <w:numId w:val="26"/>
        </w:numPr>
        <w:spacing w:after="120" w:line="270" w:lineRule="atLeast"/>
        <w:rPr>
          <w:rFonts w:ascii="Arial" w:eastAsia="Times" w:hAnsi="Arial" w:cs="Times New Roman"/>
          <w:sz w:val="20"/>
          <w:szCs w:val="20"/>
        </w:rPr>
      </w:pPr>
      <w:r w:rsidRPr="00423FAA">
        <w:rPr>
          <w:rFonts w:ascii="Arial" w:eastAsia="Times" w:hAnsi="Arial" w:cs="Times New Roman"/>
          <w:sz w:val="20"/>
          <w:szCs w:val="20"/>
        </w:rPr>
        <w:t>Low</w:t>
      </w:r>
      <w:r>
        <w:rPr>
          <w:rFonts w:ascii="Arial" w:eastAsia="Times" w:hAnsi="Arial" w:cs="Times New Roman"/>
          <w:sz w:val="20"/>
          <w:szCs w:val="20"/>
        </w:rPr>
        <w:noBreakHyphen/>
      </w:r>
      <w:r w:rsidRPr="00423FAA">
        <w:rPr>
          <w:rFonts w:ascii="Arial" w:eastAsia="Times" w:hAnsi="Arial" w:cs="Times New Roman"/>
          <w:sz w:val="20"/>
          <w:szCs w:val="20"/>
        </w:rPr>
        <w:t xml:space="preserve">survival cancer researchers describe the diverse options they have used to engage with low survival cancer support and advocacy groups, </w:t>
      </w:r>
      <w:proofErr w:type="gramStart"/>
      <w:r w:rsidRPr="00423FAA">
        <w:rPr>
          <w:rFonts w:ascii="Arial" w:eastAsia="Times" w:hAnsi="Arial" w:cs="Times New Roman"/>
          <w:sz w:val="20"/>
          <w:szCs w:val="20"/>
        </w:rPr>
        <w:t>carers</w:t>
      </w:r>
      <w:proofErr w:type="gramEnd"/>
      <w:r w:rsidRPr="00423FAA">
        <w:rPr>
          <w:rFonts w:ascii="Arial" w:eastAsia="Times" w:hAnsi="Arial" w:cs="Times New Roman"/>
          <w:sz w:val="20"/>
          <w:szCs w:val="20"/>
        </w:rPr>
        <w:t xml:space="preserve"> and family members with</w:t>
      </w:r>
      <w:r w:rsidRPr="00423FAA">
        <w:t xml:space="preserve"> </w:t>
      </w:r>
      <w:r w:rsidRPr="00423FAA">
        <w:rPr>
          <w:rFonts w:ascii="Arial" w:eastAsia="Times" w:hAnsi="Arial" w:cs="Times New Roman"/>
          <w:sz w:val="20"/>
          <w:szCs w:val="20"/>
        </w:rPr>
        <w:t>lived experience.</w:t>
      </w:r>
    </w:p>
    <w:p w14:paraId="454D5BFF" w14:textId="77777777" w:rsidR="006A7802" w:rsidRPr="004901C1" w:rsidRDefault="006A7802" w:rsidP="006A7802">
      <w:pPr>
        <w:pStyle w:val="ListParagraph"/>
        <w:numPr>
          <w:ilvl w:val="0"/>
          <w:numId w:val="26"/>
        </w:numPr>
        <w:spacing w:after="120" w:line="270" w:lineRule="atLeast"/>
        <w:rPr>
          <w:rFonts w:ascii="Arial" w:eastAsia="Times" w:hAnsi="Arial" w:cs="Times New Roman"/>
          <w:sz w:val="20"/>
          <w:szCs w:val="20"/>
        </w:rPr>
      </w:pPr>
      <w:r w:rsidRPr="004901C1">
        <w:rPr>
          <w:rFonts w:ascii="Arial" w:eastAsia="Times" w:hAnsi="Arial" w:cs="Times New Roman"/>
          <w:sz w:val="20"/>
          <w:szCs w:val="20"/>
        </w:rPr>
        <w:t>Collaborations with peak bodies and/or philanthropic organisations coupled with consumer engagement add strength to applications</w:t>
      </w:r>
      <w:r>
        <w:rPr>
          <w:rFonts w:ascii="Arial" w:eastAsia="Times" w:hAnsi="Arial" w:cs="Times New Roman"/>
          <w:sz w:val="20"/>
          <w:szCs w:val="20"/>
        </w:rPr>
        <w:t xml:space="preserve">, including but not limited to, </w:t>
      </w:r>
      <w:r w:rsidRPr="004901C1">
        <w:rPr>
          <w:rFonts w:ascii="Arial" w:eastAsia="Times" w:hAnsi="Arial" w:cs="Times New Roman"/>
          <w:sz w:val="20"/>
          <w:szCs w:val="20"/>
        </w:rPr>
        <w:t xml:space="preserve">Cancer Council Victoria, Rare Cancers Australia, Lung Foundation, Ovarian Cancer Australia, </w:t>
      </w:r>
      <w:proofErr w:type="spellStart"/>
      <w:r w:rsidRPr="004901C1">
        <w:rPr>
          <w:rFonts w:ascii="Arial" w:eastAsia="Times" w:hAnsi="Arial" w:cs="Times New Roman"/>
          <w:sz w:val="20"/>
          <w:szCs w:val="20"/>
        </w:rPr>
        <w:t>LiverWELL</w:t>
      </w:r>
      <w:proofErr w:type="spellEnd"/>
      <w:r>
        <w:rPr>
          <w:rFonts w:ascii="Arial" w:eastAsia="Times" w:hAnsi="Arial" w:cs="Times New Roman"/>
          <w:sz w:val="20"/>
          <w:szCs w:val="20"/>
        </w:rPr>
        <w:t xml:space="preserve">, </w:t>
      </w:r>
      <w:proofErr w:type="spellStart"/>
      <w:r w:rsidRPr="004901C1">
        <w:rPr>
          <w:rFonts w:ascii="Arial" w:eastAsia="Times" w:hAnsi="Arial" w:cs="Times New Roman"/>
          <w:sz w:val="20"/>
          <w:szCs w:val="20"/>
        </w:rPr>
        <w:t>Pancare</w:t>
      </w:r>
      <w:proofErr w:type="spellEnd"/>
      <w:r w:rsidRPr="004901C1">
        <w:rPr>
          <w:rFonts w:ascii="Arial" w:eastAsia="Times" w:hAnsi="Arial" w:cs="Times New Roman"/>
          <w:sz w:val="20"/>
          <w:szCs w:val="20"/>
        </w:rPr>
        <w:t xml:space="preserve"> Foundation</w:t>
      </w:r>
      <w:r>
        <w:rPr>
          <w:rFonts w:ascii="Arial" w:eastAsia="Times" w:hAnsi="Arial" w:cs="Times New Roman"/>
          <w:sz w:val="20"/>
          <w:szCs w:val="20"/>
        </w:rPr>
        <w:t xml:space="preserve">, Breast Cancer Network Australia, Leukaemia Foundation, Health Issues </w:t>
      </w:r>
      <w:proofErr w:type="gramStart"/>
      <w:r>
        <w:rPr>
          <w:rFonts w:ascii="Arial" w:eastAsia="Times" w:hAnsi="Arial" w:cs="Times New Roman"/>
          <w:sz w:val="20"/>
          <w:szCs w:val="20"/>
        </w:rPr>
        <w:t>Centre</w:t>
      </w:r>
      <w:proofErr w:type="gramEnd"/>
      <w:r>
        <w:rPr>
          <w:rFonts w:ascii="Arial" w:eastAsia="Times" w:hAnsi="Arial" w:cs="Times New Roman"/>
          <w:sz w:val="20"/>
          <w:szCs w:val="20"/>
        </w:rPr>
        <w:t xml:space="preserve"> and the Consumers Health Forum of Australia</w:t>
      </w:r>
      <w:r w:rsidRPr="004901C1">
        <w:rPr>
          <w:rFonts w:ascii="Arial" w:eastAsia="Times" w:hAnsi="Arial" w:cs="Times New Roman"/>
          <w:sz w:val="20"/>
          <w:szCs w:val="20"/>
        </w:rPr>
        <w:t>.</w:t>
      </w:r>
    </w:p>
    <w:p w14:paraId="43CF2339" w14:textId="5C4367F1" w:rsidR="006A7802" w:rsidRDefault="006A7802" w:rsidP="006A7802">
      <w:pPr>
        <w:pStyle w:val="ListParagraph"/>
        <w:numPr>
          <w:ilvl w:val="0"/>
          <w:numId w:val="26"/>
        </w:numPr>
        <w:spacing w:after="120" w:line="270" w:lineRule="atLeast"/>
        <w:rPr>
          <w:rFonts w:ascii="Arial" w:eastAsia="Times" w:hAnsi="Arial" w:cs="Times New Roman"/>
          <w:sz w:val="20"/>
          <w:szCs w:val="20"/>
        </w:rPr>
      </w:pPr>
      <w:r w:rsidRPr="007B3EEA">
        <w:rPr>
          <w:rFonts w:ascii="Arial" w:eastAsia="Times" w:hAnsi="Arial" w:cs="Times New Roman"/>
          <w:sz w:val="20"/>
          <w:szCs w:val="20"/>
        </w:rPr>
        <w:t xml:space="preserve">Engaging both individual consumers and community organisations, networks and support groups </w:t>
      </w:r>
      <w:r w:rsidR="00CB2681">
        <w:rPr>
          <w:rFonts w:ascii="Arial" w:eastAsia="Times" w:hAnsi="Arial" w:cs="Times New Roman"/>
          <w:sz w:val="20"/>
          <w:szCs w:val="20"/>
        </w:rPr>
        <w:t>is</w:t>
      </w:r>
      <w:r>
        <w:rPr>
          <w:rFonts w:ascii="Arial" w:eastAsia="Times" w:hAnsi="Arial" w:cs="Times New Roman"/>
          <w:sz w:val="20"/>
          <w:szCs w:val="20"/>
        </w:rPr>
        <w:t xml:space="preserve"> likely to strengthen applications/research plans</w:t>
      </w:r>
      <w:r w:rsidRPr="007B3EEA">
        <w:rPr>
          <w:rFonts w:ascii="Arial" w:eastAsia="Times" w:hAnsi="Arial" w:cs="Times New Roman"/>
          <w:sz w:val="20"/>
          <w:szCs w:val="20"/>
        </w:rPr>
        <w:t>.</w:t>
      </w:r>
    </w:p>
    <w:p w14:paraId="3BDAB037" w14:textId="3A76FDEF" w:rsidR="001B7D5E" w:rsidRDefault="00FA5CE8" w:rsidP="006A7802">
      <w:pPr>
        <w:pStyle w:val="ListParagraph"/>
        <w:numPr>
          <w:ilvl w:val="0"/>
          <w:numId w:val="26"/>
        </w:numPr>
        <w:spacing w:after="120" w:line="270" w:lineRule="atLeast"/>
        <w:rPr>
          <w:rFonts w:ascii="Arial" w:eastAsia="Times" w:hAnsi="Arial" w:cs="Times New Roman"/>
          <w:sz w:val="20"/>
          <w:szCs w:val="20"/>
        </w:rPr>
      </w:pPr>
      <w:r>
        <w:rPr>
          <w:rFonts w:ascii="Arial" w:eastAsia="Times" w:hAnsi="Arial" w:cs="Times New Roman"/>
          <w:sz w:val="20"/>
          <w:szCs w:val="20"/>
        </w:rPr>
        <w:t xml:space="preserve">Consumers (as patients or carers) </w:t>
      </w:r>
      <w:r w:rsidR="00193501">
        <w:rPr>
          <w:rFonts w:ascii="Arial" w:eastAsia="Times" w:hAnsi="Arial" w:cs="Times New Roman"/>
          <w:sz w:val="20"/>
          <w:szCs w:val="20"/>
        </w:rPr>
        <w:t xml:space="preserve">involved in </w:t>
      </w:r>
      <w:r w:rsidR="001B7D5E" w:rsidRPr="001B7D5E">
        <w:rPr>
          <w:rFonts w:ascii="Arial" w:eastAsia="Times" w:hAnsi="Arial" w:cs="Times New Roman"/>
          <w:sz w:val="20"/>
          <w:szCs w:val="20"/>
        </w:rPr>
        <w:t xml:space="preserve">clinical settings or clinical trials </w:t>
      </w:r>
      <w:r w:rsidR="00193501">
        <w:rPr>
          <w:rFonts w:ascii="Arial" w:eastAsia="Times" w:hAnsi="Arial" w:cs="Times New Roman"/>
          <w:sz w:val="20"/>
          <w:szCs w:val="20"/>
        </w:rPr>
        <w:t xml:space="preserve">or </w:t>
      </w:r>
      <w:r w:rsidR="001B7D5E" w:rsidRPr="001B7D5E">
        <w:rPr>
          <w:rFonts w:ascii="Arial" w:eastAsia="Times" w:hAnsi="Arial" w:cs="Times New Roman"/>
          <w:sz w:val="20"/>
          <w:szCs w:val="20"/>
        </w:rPr>
        <w:t>from consumer-related organisations or peer support groups</w:t>
      </w:r>
      <w:r w:rsidR="00193501">
        <w:rPr>
          <w:rFonts w:ascii="Arial" w:eastAsia="Times" w:hAnsi="Arial" w:cs="Times New Roman"/>
          <w:sz w:val="20"/>
          <w:szCs w:val="20"/>
        </w:rPr>
        <w:t xml:space="preserve"> can also be r</w:t>
      </w:r>
      <w:r w:rsidR="00193501" w:rsidRPr="001B7D5E">
        <w:rPr>
          <w:rFonts w:ascii="Arial" w:eastAsia="Times" w:hAnsi="Arial" w:cs="Times New Roman"/>
          <w:sz w:val="20"/>
          <w:szCs w:val="20"/>
        </w:rPr>
        <w:t>ecruit</w:t>
      </w:r>
      <w:r w:rsidR="00193501">
        <w:rPr>
          <w:rFonts w:ascii="Arial" w:eastAsia="Times" w:hAnsi="Arial" w:cs="Times New Roman"/>
          <w:sz w:val="20"/>
          <w:szCs w:val="20"/>
        </w:rPr>
        <w:t>ed</w:t>
      </w:r>
      <w:r w:rsidR="00624F93">
        <w:rPr>
          <w:rFonts w:ascii="Arial" w:eastAsia="Times" w:hAnsi="Arial" w:cs="Times New Roman"/>
          <w:sz w:val="20"/>
          <w:szCs w:val="20"/>
        </w:rPr>
        <w:t>.</w:t>
      </w:r>
      <w:r w:rsidR="001B7D5E" w:rsidRPr="001B7D5E">
        <w:rPr>
          <w:rFonts w:ascii="Arial" w:eastAsia="Times" w:hAnsi="Arial" w:cs="Times New Roman"/>
          <w:sz w:val="20"/>
          <w:szCs w:val="20"/>
        </w:rPr>
        <w:t xml:space="preserve"> </w:t>
      </w:r>
      <w:r w:rsidR="00BC386A">
        <w:rPr>
          <w:rFonts w:ascii="Arial" w:eastAsia="Times" w:hAnsi="Arial" w:cs="Times New Roman"/>
          <w:sz w:val="20"/>
          <w:szCs w:val="20"/>
        </w:rPr>
        <w:t>T</w:t>
      </w:r>
      <w:r w:rsidR="001B7D5E" w:rsidRPr="001B7D5E">
        <w:rPr>
          <w:rFonts w:ascii="Arial" w:eastAsia="Times" w:hAnsi="Arial" w:cs="Times New Roman"/>
          <w:sz w:val="20"/>
          <w:szCs w:val="20"/>
        </w:rPr>
        <w:t xml:space="preserve">hey don’t </w:t>
      </w:r>
      <w:r w:rsidR="00624F93">
        <w:rPr>
          <w:rFonts w:ascii="Arial" w:eastAsia="Times" w:hAnsi="Arial" w:cs="Times New Roman"/>
          <w:sz w:val="20"/>
          <w:szCs w:val="20"/>
        </w:rPr>
        <w:t xml:space="preserve">necessarily </w:t>
      </w:r>
      <w:r w:rsidR="001B7D5E" w:rsidRPr="001B7D5E">
        <w:rPr>
          <w:rFonts w:ascii="Arial" w:eastAsia="Times" w:hAnsi="Arial" w:cs="Times New Roman"/>
          <w:sz w:val="20"/>
          <w:szCs w:val="20"/>
        </w:rPr>
        <w:t>have to represent these groups</w:t>
      </w:r>
      <w:r w:rsidR="003C2F9D">
        <w:rPr>
          <w:rFonts w:ascii="Arial" w:eastAsia="Times" w:hAnsi="Arial" w:cs="Times New Roman"/>
          <w:sz w:val="20"/>
          <w:szCs w:val="20"/>
        </w:rPr>
        <w:t>.</w:t>
      </w:r>
      <w:r w:rsidR="00BE6F9C">
        <w:rPr>
          <w:rFonts w:ascii="Arial" w:eastAsia="Times" w:hAnsi="Arial" w:cs="Times New Roman"/>
          <w:sz w:val="20"/>
          <w:szCs w:val="20"/>
        </w:rPr>
        <w:t xml:space="preserve"> </w:t>
      </w:r>
      <w:r w:rsidR="00BC386A">
        <w:rPr>
          <w:rFonts w:ascii="Arial" w:eastAsia="Times" w:hAnsi="Arial" w:cs="Times New Roman"/>
          <w:sz w:val="20"/>
          <w:szCs w:val="20"/>
        </w:rPr>
        <w:t>Note</w:t>
      </w:r>
      <w:r w:rsidR="00C650D1">
        <w:rPr>
          <w:rFonts w:ascii="Arial" w:eastAsia="Times" w:hAnsi="Arial" w:cs="Times New Roman"/>
          <w:sz w:val="20"/>
          <w:szCs w:val="20"/>
        </w:rPr>
        <w:t xml:space="preserve"> please consider </w:t>
      </w:r>
      <w:r w:rsidR="00C650D1" w:rsidRPr="00C650D1">
        <w:rPr>
          <w:rFonts w:ascii="Arial" w:eastAsia="Times" w:hAnsi="Arial" w:cs="Times New Roman"/>
          <w:sz w:val="20"/>
          <w:szCs w:val="20"/>
        </w:rPr>
        <w:t>provid</w:t>
      </w:r>
      <w:r w:rsidR="00C650D1">
        <w:rPr>
          <w:rFonts w:ascii="Arial" w:eastAsia="Times" w:hAnsi="Arial" w:cs="Times New Roman"/>
          <w:sz w:val="20"/>
          <w:szCs w:val="20"/>
        </w:rPr>
        <w:t>ing them</w:t>
      </w:r>
      <w:r w:rsidR="00C650D1" w:rsidRPr="00C650D1">
        <w:rPr>
          <w:rFonts w:ascii="Arial" w:eastAsia="Times" w:hAnsi="Arial" w:cs="Times New Roman"/>
          <w:sz w:val="20"/>
          <w:szCs w:val="20"/>
        </w:rPr>
        <w:t xml:space="preserve"> with training in advocacy and consumer engagement in research.</w:t>
      </w:r>
      <w:r w:rsidR="00BC386A">
        <w:rPr>
          <w:rFonts w:ascii="Arial" w:eastAsia="Times" w:hAnsi="Arial" w:cs="Times New Roman"/>
          <w:sz w:val="20"/>
          <w:szCs w:val="20"/>
        </w:rPr>
        <w:t xml:space="preserve"> </w:t>
      </w:r>
    </w:p>
    <w:p w14:paraId="7C871686" w14:textId="77777777" w:rsidR="006A7802" w:rsidRPr="00BC410E" w:rsidRDefault="006A7802" w:rsidP="006A7802">
      <w:pPr>
        <w:spacing w:after="120" w:line="270" w:lineRule="atLeast"/>
        <w:rPr>
          <w:rFonts w:ascii="Arial" w:eastAsia="Times" w:hAnsi="Arial"/>
        </w:rPr>
      </w:pPr>
    </w:p>
    <w:p w14:paraId="65780432" w14:textId="628E4F9C" w:rsidR="006A7802" w:rsidRDefault="006A7802" w:rsidP="006A7802">
      <w:pPr>
        <w:rPr>
          <w:rFonts w:ascii="Arial" w:eastAsia="Times" w:hAnsi="Arial"/>
          <w:b/>
          <w:bCs/>
          <w:color w:val="365F91" w:themeColor="accent1" w:themeShade="BF"/>
          <w:sz w:val="28"/>
          <w:szCs w:val="28"/>
        </w:rPr>
      </w:pPr>
      <w:r>
        <w:rPr>
          <w:rFonts w:ascii="Arial" w:eastAsia="Times" w:hAnsi="Arial"/>
          <w:b/>
          <w:bCs/>
          <w:color w:val="365F91" w:themeColor="accent1" w:themeShade="BF"/>
          <w:sz w:val="28"/>
          <w:szCs w:val="28"/>
        </w:rPr>
        <w:t>Additional r</w:t>
      </w:r>
      <w:r w:rsidRPr="00863341">
        <w:rPr>
          <w:rFonts w:ascii="Arial" w:eastAsia="Times" w:hAnsi="Arial"/>
          <w:b/>
          <w:bCs/>
          <w:color w:val="365F91" w:themeColor="accent1" w:themeShade="BF"/>
          <w:sz w:val="28"/>
          <w:szCs w:val="28"/>
        </w:rPr>
        <w:t xml:space="preserve">esources </w:t>
      </w:r>
    </w:p>
    <w:p w14:paraId="4845D332" w14:textId="77777777" w:rsidR="006A7802" w:rsidRDefault="006A7802" w:rsidP="006A7802">
      <w:pPr>
        <w:pStyle w:val="DHHSbody"/>
      </w:pPr>
      <w:r>
        <w:t xml:space="preserve">There are excellent existing resources available through other organisations that VCA recommend you should review in preparing your application and conducting research. </w:t>
      </w:r>
    </w:p>
    <w:p w14:paraId="3D06E659" w14:textId="6AD0BFCC" w:rsidR="007E40AD" w:rsidRDefault="00767E38" w:rsidP="007E40AD">
      <w:pPr>
        <w:pStyle w:val="ListParagraph"/>
        <w:numPr>
          <w:ilvl w:val="0"/>
          <w:numId w:val="27"/>
        </w:numPr>
        <w:spacing w:line="257" w:lineRule="auto"/>
        <w:rPr>
          <w:rFonts w:eastAsiaTheme="minorEastAsia"/>
          <w:i/>
          <w:iCs/>
          <w:sz w:val="20"/>
          <w:szCs w:val="20"/>
        </w:rPr>
      </w:pPr>
      <w:r>
        <w:rPr>
          <w:rFonts w:ascii="Arial" w:eastAsia="Arial" w:hAnsi="Arial" w:cs="Arial"/>
          <w:i/>
          <w:iCs/>
          <w:color w:val="365F91" w:themeColor="accent1" w:themeShade="BF"/>
          <w:sz w:val="20"/>
          <w:szCs w:val="20"/>
        </w:rPr>
        <w:t xml:space="preserve">The </w:t>
      </w:r>
      <w:r w:rsidR="007E40AD" w:rsidRPr="6489F9B9">
        <w:rPr>
          <w:rFonts w:ascii="Arial" w:eastAsia="Arial" w:hAnsi="Arial" w:cs="Arial"/>
          <w:i/>
          <w:iCs/>
          <w:color w:val="365F91" w:themeColor="accent1" w:themeShade="BF"/>
          <w:sz w:val="20"/>
          <w:szCs w:val="20"/>
        </w:rPr>
        <w:t xml:space="preserve">NHMRC </w:t>
      </w:r>
      <w:hyperlink r:id="rId17">
        <w:r w:rsidR="007E40AD" w:rsidRPr="6489F9B9">
          <w:rPr>
            <w:rStyle w:val="Hyperlink"/>
            <w:rFonts w:ascii="Arial" w:eastAsia="Arial" w:hAnsi="Arial" w:cs="Arial"/>
            <w:sz w:val="20"/>
            <w:szCs w:val="20"/>
          </w:rPr>
          <w:t>Consumer and Community Engagement Toolkit and Associated Resources</w:t>
        </w:r>
      </w:hyperlink>
      <w:r w:rsidR="007E40AD" w:rsidRPr="6489F9B9">
        <w:rPr>
          <w:rFonts w:ascii="Arial" w:eastAsia="Arial" w:hAnsi="Arial" w:cs="Arial"/>
          <w:sz w:val="20"/>
          <w:szCs w:val="20"/>
        </w:rPr>
        <w:t xml:space="preserve">  </w:t>
      </w:r>
      <w:r w:rsidR="007E40AD" w:rsidRPr="00683463">
        <w:rPr>
          <w:rFonts w:ascii="Arial" w:eastAsia="Arial" w:hAnsi="Arial" w:cs="Arial"/>
          <w:sz w:val="20"/>
          <w:szCs w:val="20"/>
        </w:rPr>
        <w:t>(Particularly helpful are the downloadable forms at the bottom of this webpage).</w:t>
      </w:r>
      <w:r w:rsidR="007E40AD" w:rsidRPr="6489F9B9">
        <w:rPr>
          <w:rFonts w:ascii="Arial" w:eastAsia="Arial" w:hAnsi="Arial" w:cs="Arial"/>
          <w:sz w:val="20"/>
          <w:szCs w:val="20"/>
        </w:rPr>
        <w:t xml:space="preserve">  </w:t>
      </w:r>
    </w:p>
    <w:p w14:paraId="01662B4D" w14:textId="17D2A407" w:rsidR="006A7802" w:rsidRDefault="6489F9B9" w:rsidP="6489F9B9">
      <w:pPr>
        <w:pStyle w:val="ListParagraph"/>
        <w:numPr>
          <w:ilvl w:val="0"/>
          <w:numId w:val="27"/>
        </w:numPr>
        <w:spacing w:line="257" w:lineRule="auto"/>
        <w:rPr>
          <w:i/>
          <w:sz w:val="20"/>
          <w:szCs w:val="20"/>
        </w:rPr>
      </w:pPr>
      <w:r w:rsidRPr="6489F9B9">
        <w:rPr>
          <w:rFonts w:ascii="Arial" w:eastAsia="Arial" w:hAnsi="Arial" w:cs="Arial"/>
          <w:i/>
          <w:iCs/>
          <w:color w:val="365F91" w:themeColor="accent1" w:themeShade="BF"/>
          <w:sz w:val="20"/>
          <w:szCs w:val="20"/>
        </w:rPr>
        <w:t xml:space="preserve">Cancer Council NSW </w:t>
      </w:r>
      <w:hyperlink r:id="rId18">
        <w:r w:rsidRPr="6489F9B9">
          <w:rPr>
            <w:rStyle w:val="Hyperlink"/>
            <w:rFonts w:ascii="Arial" w:eastAsia="Arial" w:hAnsi="Arial" w:cs="Arial"/>
            <w:sz w:val="20"/>
            <w:szCs w:val="20"/>
          </w:rPr>
          <w:t xml:space="preserve">Consumer Review Guidelines for research grant applications   </w:t>
        </w:r>
      </w:hyperlink>
      <w:r w:rsidRPr="6489F9B9">
        <w:rPr>
          <w:rFonts w:ascii="Arial" w:eastAsia="Arial" w:hAnsi="Arial" w:cs="Arial"/>
          <w:color w:val="0070C0"/>
          <w:sz w:val="20"/>
          <w:szCs w:val="20"/>
        </w:rPr>
        <w:t xml:space="preserve"> </w:t>
      </w:r>
    </w:p>
    <w:p w14:paraId="11FCCC77" w14:textId="215D6BCE" w:rsidR="006A7802" w:rsidRDefault="6489F9B9" w:rsidP="6489F9B9">
      <w:pPr>
        <w:pStyle w:val="ListParagraph"/>
        <w:numPr>
          <w:ilvl w:val="0"/>
          <w:numId w:val="27"/>
        </w:numPr>
        <w:spacing w:line="257" w:lineRule="auto"/>
        <w:rPr>
          <w:rFonts w:eastAsiaTheme="minorEastAsia"/>
          <w:i/>
          <w:iCs/>
          <w:sz w:val="20"/>
          <w:szCs w:val="20"/>
        </w:rPr>
      </w:pPr>
      <w:r w:rsidRPr="6489F9B9">
        <w:rPr>
          <w:rFonts w:ascii="Arial" w:eastAsia="Arial" w:hAnsi="Arial" w:cs="Arial"/>
          <w:i/>
          <w:iCs/>
          <w:color w:val="365F91" w:themeColor="accent1" w:themeShade="BF"/>
          <w:sz w:val="20"/>
          <w:szCs w:val="20"/>
        </w:rPr>
        <w:t xml:space="preserve">The Consumer and Community Involvement Program  </w:t>
      </w:r>
      <w:hyperlink r:id="rId19">
        <w:r w:rsidRPr="6489F9B9">
          <w:rPr>
            <w:rStyle w:val="Hyperlink"/>
            <w:rFonts w:ascii="Arial" w:eastAsia="Arial" w:hAnsi="Arial" w:cs="Arial"/>
            <w:sz w:val="20"/>
            <w:szCs w:val="20"/>
          </w:rPr>
          <w:t>CCI Program</w:t>
        </w:r>
      </w:hyperlink>
      <w:r w:rsidRPr="6489F9B9">
        <w:rPr>
          <w:rFonts w:ascii="Arial" w:eastAsia="Arial" w:hAnsi="Arial" w:cs="Arial"/>
          <w:sz w:val="20"/>
          <w:szCs w:val="20"/>
        </w:rPr>
        <w:t xml:space="preserve"> </w:t>
      </w:r>
    </w:p>
    <w:p w14:paraId="3718227E" w14:textId="5679A802" w:rsidR="006A7802" w:rsidRDefault="6489F9B9" w:rsidP="6489F9B9">
      <w:pPr>
        <w:pStyle w:val="ListParagraph"/>
        <w:numPr>
          <w:ilvl w:val="0"/>
          <w:numId w:val="27"/>
        </w:numPr>
        <w:spacing w:line="257" w:lineRule="auto"/>
        <w:rPr>
          <w:i/>
          <w:sz w:val="20"/>
          <w:szCs w:val="20"/>
          <w:u w:val="single"/>
        </w:rPr>
      </w:pPr>
      <w:r w:rsidRPr="6489F9B9">
        <w:rPr>
          <w:rFonts w:ascii="Arial" w:eastAsia="Arial" w:hAnsi="Arial" w:cs="Arial"/>
          <w:i/>
          <w:iCs/>
          <w:color w:val="365F91" w:themeColor="accent1" w:themeShade="BF"/>
          <w:sz w:val="20"/>
          <w:szCs w:val="20"/>
        </w:rPr>
        <w:t>Cancer Australia</w:t>
      </w:r>
      <w:r w:rsidRPr="6489F9B9">
        <w:rPr>
          <w:rFonts w:ascii="Arial" w:eastAsia="Arial" w:hAnsi="Arial" w:cs="Arial"/>
          <w:sz w:val="20"/>
          <w:szCs w:val="20"/>
        </w:rPr>
        <w:t xml:space="preserve">   </w:t>
      </w:r>
      <w:hyperlink r:id="rId20">
        <w:r w:rsidRPr="6489F9B9">
          <w:rPr>
            <w:rStyle w:val="Hyperlink"/>
            <w:rFonts w:ascii="Arial" w:eastAsia="Arial" w:hAnsi="Arial" w:cs="Arial"/>
            <w:sz w:val="20"/>
            <w:szCs w:val="20"/>
          </w:rPr>
          <w:t>Consumer engagement | Cancer Australia</w:t>
        </w:r>
      </w:hyperlink>
    </w:p>
    <w:p w14:paraId="3BA37344" w14:textId="2E31E87B" w:rsidR="006A7802" w:rsidRDefault="005165CE" w:rsidP="6489F9B9">
      <w:pPr>
        <w:pStyle w:val="ListParagraph"/>
        <w:numPr>
          <w:ilvl w:val="0"/>
          <w:numId w:val="27"/>
        </w:numPr>
        <w:spacing w:line="257" w:lineRule="auto"/>
        <w:rPr>
          <w:rFonts w:eastAsiaTheme="minorEastAsia"/>
          <w:i/>
          <w:sz w:val="20"/>
          <w:szCs w:val="20"/>
        </w:rPr>
      </w:pPr>
      <w:r>
        <w:rPr>
          <w:rFonts w:ascii="Arial" w:eastAsia="Arial" w:hAnsi="Arial" w:cs="Arial"/>
          <w:i/>
          <w:iCs/>
          <w:color w:val="365F91" w:themeColor="accent1" w:themeShade="BF"/>
          <w:sz w:val="20"/>
          <w:szCs w:val="20"/>
        </w:rPr>
        <w:t>Victoria</w:t>
      </w:r>
      <w:r w:rsidR="00A10F49">
        <w:rPr>
          <w:rFonts w:ascii="Arial" w:eastAsia="Arial" w:hAnsi="Arial" w:cs="Arial"/>
          <w:i/>
          <w:iCs/>
          <w:color w:val="365F91" w:themeColor="accent1" w:themeShade="BF"/>
          <w:sz w:val="20"/>
          <w:szCs w:val="20"/>
        </w:rPr>
        <w:t>n</w:t>
      </w:r>
      <w:r>
        <w:rPr>
          <w:rFonts w:ascii="Arial" w:eastAsia="Arial" w:hAnsi="Arial" w:cs="Arial"/>
          <w:i/>
          <w:iCs/>
          <w:color w:val="365F91" w:themeColor="accent1" w:themeShade="BF"/>
          <w:sz w:val="20"/>
          <w:szCs w:val="20"/>
        </w:rPr>
        <w:t xml:space="preserve"> Cancer Agency</w:t>
      </w:r>
      <w:r w:rsidR="00A10F49">
        <w:rPr>
          <w:rFonts w:ascii="Arial" w:eastAsia="Arial" w:hAnsi="Arial" w:cs="Arial"/>
          <w:i/>
          <w:iCs/>
          <w:color w:val="365F91" w:themeColor="accent1" w:themeShade="BF"/>
          <w:sz w:val="20"/>
          <w:szCs w:val="20"/>
        </w:rPr>
        <w:t xml:space="preserve"> </w:t>
      </w:r>
      <w:hyperlink r:id="rId21">
        <w:r w:rsidR="6489F9B9" w:rsidRPr="5718FDB6">
          <w:rPr>
            <w:rStyle w:val="Hyperlink"/>
            <w:rFonts w:ascii="Arial" w:eastAsia="Arial" w:hAnsi="Arial" w:cs="Arial"/>
            <w:i/>
            <w:iCs/>
            <w:sz w:val="20"/>
            <w:szCs w:val="20"/>
          </w:rPr>
          <w:t>VCA funding rules</w:t>
        </w:r>
      </w:hyperlink>
      <w:r w:rsidR="6489F9B9" w:rsidRPr="6489F9B9">
        <w:rPr>
          <w:rFonts w:ascii="Arial" w:eastAsia="Arial" w:hAnsi="Arial" w:cs="Arial"/>
          <w:sz w:val="20"/>
          <w:szCs w:val="20"/>
        </w:rPr>
        <w:t xml:space="preserve"> </w:t>
      </w:r>
    </w:p>
    <w:p w14:paraId="62358800" w14:textId="28C7ADCD" w:rsidR="006A7802" w:rsidRDefault="6489F9B9" w:rsidP="6489F9B9">
      <w:pPr>
        <w:pStyle w:val="ListParagraph"/>
        <w:numPr>
          <w:ilvl w:val="0"/>
          <w:numId w:val="27"/>
        </w:numPr>
        <w:spacing w:line="257" w:lineRule="auto"/>
        <w:rPr>
          <w:i/>
          <w:sz w:val="20"/>
          <w:szCs w:val="20"/>
          <w:u w:val="single"/>
        </w:rPr>
      </w:pPr>
      <w:r w:rsidRPr="6489F9B9">
        <w:rPr>
          <w:rFonts w:ascii="Arial" w:eastAsia="Arial" w:hAnsi="Arial" w:cs="Arial"/>
          <w:i/>
          <w:iCs/>
          <w:color w:val="365F91" w:themeColor="accent1" w:themeShade="BF"/>
          <w:sz w:val="20"/>
          <w:szCs w:val="20"/>
        </w:rPr>
        <w:t>Victorian Comprehensive Cancer Centre Alliance</w:t>
      </w:r>
      <w:r w:rsidRPr="6489F9B9">
        <w:rPr>
          <w:rFonts w:ascii="Arial" w:eastAsia="Arial" w:hAnsi="Arial" w:cs="Arial"/>
          <w:sz w:val="20"/>
          <w:szCs w:val="20"/>
        </w:rPr>
        <w:t xml:space="preserve"> </w:t>
      </w:r>
      <w:hyperlink r:id="rId22">
        <w:r w:rsidRPr="6489F9B9">
          <w:rPr>
            <w:rStyle w:val="Hyperlink"/>
            <w:rFonts w:ascii="Arial" w:eastAsia="Arial" w:hAnsi="Arial" w:cs="Arial"/>
            <w:sz w:val="20"/>
            <w:szCs w:val="20"/>
          </w:rPr>
          <w:t>Consumer Engagement Toolkit</w:t>
        </w:r>
      </w:hyperlink>
    </w:p>
    <w:p w14:paraId="744015A4" w14:textId="77777777" w:rsidR="006F6B8C" w:rsidRPr="007933F7" w:rsidRDefault="006F6B8C" w:rsidP="007933F7">
      <w:pPr>
        <w:pStyle w:val="DHHSbody"/>
        <w:rPr>
          <w:color w:val="D50032"/>
          <w:sz w:val="26"/>
          <w:szCs w:val="26"/>
        </w:rPr>
      </w:pPr>
    </w:p>
    <w:p w14:paraId="69EE36C3" w14:textId="77777777" w:rsidR="00B2752E" w:rsidRDefault="00B2752E" w:rsidP="00FF6D9D">
      <w:pPr>
        <w:pStyle w:val="DHHSbody"/>
      </w:pPr>
    </w:p>
    <w:p w14:paraId="63195B62" w14:textId="77777777" w:rsidR="00C04807" w:rsidRDefault="00C04807" w:rsidP="00FF6D9D">
      <w:pPr>
        <w:pStyle w:val="DHHSbody"/>
      </w:pPr>
    </w:p>
    <w:p w14:paraId="138A6478" w14:textId="77777777" w:rsidR="00315314" w:rsidRDefault="00315314" w:rsidP="00FF6D9D">
      <w:pPr>
        <w:pStyle w:val="DHHSbody"/>
      </w:pPr>
    </w:p>
    <w:p w14:paraId="7C03D9BD" w14:textId="77777777" w:rsidR="00C04807" w:rsidRDefault="00C04807" w:rsidP="00FF6D9D">
      <w:pPr>
        <w:pStyle w:val="DHHSbody"/>
      </w:pPr>
    </w:p>
    <w:p w14:paraId="3B195034" w14:textId="77777777" w:rsidR="00EB797E" w:rsidRPr="005060B1" w:rsidRDefault="00EB797E" w:rsidP="00EB797E">
      <w:pPr>
        <w:pStyle w:val="DHHSbody"/>
        <w:pBdr>
          <w:top w:val="single" w:sz="4" w:space="1" w:color="auto"/>
          <w:left w:val="single" w:sz="4" w:space="4" w:color="auto"/>
          <w:bottom w:val="single" w:sz="4" w:space="1" w:color="auto"/>
          <w:right w:val="single" w:sz="4" w:space="4" w:color="auto"/>
        </w:pBdr>
        <w:rPr>
          <w:sz w:val="24"/>
          <w:szCs w:val="24"/>
        </w:rPr>
      </w:pPr>
      <w:r w:rsidRPr="005060B1">
        <w:rPr>
          <w:sz w:val="24"/>
          <w:szCs w:val="24"/>
        </w:rPr>
        <w:t xml:space="preserve">To receive this publication in an accessible format </w:t>
      </w:r>
      <w:hyperlink r:id="rId23" w:history="1">
        <w:r w:rsidRPr="005060B1">
          <w:rPr>
            <w:rStyle w:val="Hyperlink"/>
            <w:sz w:val="24"/>
            <w:szCs w:val="24"/>
          </w:rPr>
          <w:t>email the Victorian Cancer Agency</w:t>
        </w:r>
      </w:hyperlink>
      <w:r w:rsidRPr="005060B1">
        <w:rPr>
          <w:sz w:val="24"/>
          <w:szCs w:val="24"/>
        </w:rPr>
        <w:t xml:space="preserve"> &lt;</w:t>
      </w:r>
      <w:r w:rsidRPr="00015327">
        <w:rPr>
          <w:rStyle w:val="Hyperlink"/>
          <w:sz w:val="24"/>
          <w:szCs w:val="24"/>
        </w:rPr>
        <w:t>victorian.canceragency@dhhs.vic.gov.au</w:t>
      </w:r>
      <w:r w:rsidRPr="005060B1">
        <w:rPr>
          <w:sz w:val="24"/>
          <w:szCs w:val="24"/>
        </w:rPr>
        <w:t>&gt;</w:t>
      </w:r>
    </w:p>
    <w:p w14:paraId="5526B939" w14:textId="77777777" w:rsidR="00EB797E" w:rsidRPr="005060B1" w:rsidRDefault="00EB797E" w:rsidP="00EB797E">
      <w:pPr>
        <w:pStyle w:val="DHHSbody"/>
        <w:pBdr>
          <w:top w:val="single" w:sz="4" w:space="1" w:color="auto"/>
          <w:left w:val="single" w:sz="4" w:space="4" w:color="auto"/>
          <w:bottom w:val="single" w:sz="4" w:space="1" w:color="auto"/>
          <w:right w:val="single" w:sz="4" w:space="4" w:color="auto"/>
        </w:pBdr>
      </w:pPr>
      <w:r w:rsidRPr="005060B1">
        <w:t>Authorised and published by the Victorian Government, 1 Treasury Place, Melbourne.</w:t>
      </w:r>
    </w:p>
    <w:p w14:paraId="499CB3D8" w14:textId="1FBFA346" w:rsidR="00EB797E" w:rsidRPr="005060B1" w:rsidRDefault="00EB797E" w:rsidP="00EB797E">
      <w:pPr>
        <w:pStyle w:val="DHHSbody"/>
        <w:pBdr>
          <w:top w:val="single" w:sz="4" w:space="1" w:color="auto"/>
          <w:left w:val="single" w:sz="4" w:space="4" w:color="auto"/>
          <w:bottom w:val="single" w:sz="4" w:space="1" w:color="auto"/>
          <w:right w:val="single" w:sz="4" w:space="4" w:color="auto"/>
        </w:pBdr>
      </w:pPr>
      <w:r w:rsidRPr="005060B1">
        <w:t xml:space="preserve">© State of Victoria, Department of Health </w:t>
      </w:r>
      <w:r w:rsidR="00315314">
        <w:t>May</w:t>
      </w:r>
      <w:r w:rsidRPr="005060B1">
        <w:t xml:space="preserve"> 20</w:t>
      </w:r>
      <w:r>
        <w:t>2</w:t>
      </w:r>
      <w:r w:rsidR="00315314">
        <w:t>2</w:t>
      </w:r>
    </w:p>
    <w:p w14:paraId="36B7108E" w14:textId="7FF24532" w:rsidR="00B2752E" w:rsidRPr="00EE4240" w:rsidRDefault="00EB797E" w:rsidP="00EE4240">
      <w:pPr>
        <w:pStyle w:val="DHHSbody"/>
        <w:pBdr>
          <w:top w:val="single" w:sz="4" w:space="1" w:color="auto"/>
          <w:left w:val="single" w:sz="4" w:space="4" w:color="auto"/>
          <w:bottom w:val="single" w:sz="4" w:space="1" w:color="auto"/>
          <w:right w:val="single" w:sz="4" w:space="4" w:color="auto"/>
        </w:pBdr>
      </w:pPr>
      <w:r w:rsidRPr="005060B1">
        <w:t xml:space="preserve">Available at: </w:t>
      </w:r>
      <w:hyperlink r:id="rId24" w:history="1">
        <w:r w:rsidRPr="005060B1">
          <w:rPr>
            <w:rStyle w:val="Hyperlink"/>
          </w:rPr>
          <w:t>Victorian Cancer Agency</w:t>
        </w:r>
      </w:hyperlink>
      <w:r w:rsidRPr="005060B1">
        <w:t xml:space="preserve"> &lt;</w:t>
      </w:r>
      <w:r w:rsidRPr="00015327">
        <w:rPr>
          <w:rStyle w:val="Hyperlink"/>
        </w:rPr>
        <w:t>www.victoriancanceragency.vic.gov.au</w:t>
      </w:r>
    </w:p>
    <w:sectPr w:rsidR="00B2752E" w:rsidRPr="00EE4240" w:rsidSect="004013C7">
      <w:headerReference w:type="default" r:id="rId25"/>
      <w:footerReference w:type="default" r:id="rId26"/>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EE82" w14:textId="77777777" w:rsidR="00491193" w:rsidRDefault="00491193">
      <w:r>
        <w:separator/>
      </w:r>
    </w:p>
  </w:endnote>
  <w:endnote w:type="continuationSeparator" w:id="0">
    <w:p w14:paraId="7A367C50" w14:textId="77777777" w:rsidR="00491193" w:rsidRDefault="00491193">
      <w:r>
        <w:continuationSeparator/>
      </w:r>
    </w:p>
  </w:endnote>
  <w:endnote w:type="continuationNotice" w:id="1">
    <w:p w14:paraId="5782D01D" w14:textId="77777777" w:rsidR="00491193" w:rsidRDefault="0049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495E" w14:textId="77777777" w:rsidR="009D70A4" w:rsidRPr="00F65AA9" w:rsidRDefault="001D1BA3" w:rsidP="0051568D">
    <w:pPr>
      <w:pStyle w:val="DHHSfooter"/>
    </w:pPr>
    <w:r>
      <w:rPr>
        <w:noProof/>
        <w:lang w:eastAsia="en-AU"/>
      </w:rPr>
      <mc:AlternateContent>
        <mc:Choice Requires="wps">
          <w:drawing>
            <wp:anchor distT="0" distB="0" distL="114300" distR="114300" simplePos="0" relativeHeight="251658241" behindDoc="0" locked="0" layoutInCell="0" allowOverlap="1" wp14:anchorId="3E59C0CD" wp14:editId="144644E7">
              <wp:simplePos x="0" y="0"/>
              <wp:positionH relativeFrom="page">
                <wp:posOffset>0</wp:posOffset>
              </wp:positionH>
              <wp:positionV relativeFrom="page">
                <wp:posOffset>10189210</wp:posOffset>
              </wp:positionV>
              <wp:extent cx="7560310" cy="311785"/>
              <wp:effectExtent l="0" t="0" r="0" b="12065"/>
              <wp:wrapNone/>
              <wp:docPr id="2" name="MSIPCM8df8463db5d309b6897fb8a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7425F" w14:textId="77777777" w:rsidR="001D1BA3" w:rsidRPr="001D1BA3" w:rsidRDefault="001D1BA3" w:rsidP="001D1BA3">
                          <w:pPr>
                            <w:jc w:val="center"/>
                            <w:rPr>
                              <w:rFonts w:ascii="Arial Black" w:hAnsi="Arial Black"/>
                              <w:color w:val="000000"/>
                            </w:rPr>
                          </w:pPr>
                          <w:r w:rsidRPr="001D1BA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59C0CD" id="_x0000_t202" coordsize="21600,21600" o:spt="202" path="m,l,21600r21600,l21600,xe">
              <v:stroke joinstyle="miter"/>
              <v:path gradientshapeok="t" o:connecttype="rect"/>
            </v:shapetype>
            <v:shape id="MSIPCM8df8463db5d309b6897fb8a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DG9GKKwCAABFBQAADgAAAAAA&#10;AAAAAAAAAAAuAgAAZHJzL2Uyb0RvYy54bWxQSwECLQAUAAYACAAAACEASA1emt8AAAALAQAADwAA&#10;AAAAAAAAAAAAAAAGBQAAZHJzL2Rvd25yZXYueG1sUEsFBgAAAAAEAAQA8wAAABIGAAAAAA==&#10;" o:allowincell="f" filled="f" stroked="f" strokeweight=".5pt">
              <v:textbox inset=",0,,0">
                <w:txbxContent>
                  <w:p w14:paraId="0CB7425F" w14:textId="77777777" w:rsidR="001D1BA3" w:rsidRPr="001D1BA3" w:rsidRDefault="001D1BA3" w:rsidP="001D1BA3">
                    <w:pPr>
                      <w:jc w:val="center"/>
                      <w:rPr>
                        <w:rFonts w:ascii="Arial Black" w:hAnsi="Arial Black"/>
                        <w:color w:val="000000"/>
                      </w:rPr>
                    </w:pPr>
                    <w:r w:rsidRPr="001D1BA3">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66CE0FE2" wp14:editId="0A443343">
          <wp:simplePos x="0" y="0"/>
          <wp:positionH relativeFrom="page">
            <wp:posOffset>0</wp:posOffset>
          </wp:positionH>
          <wp:positionV relativeFrom="page">
            <wp:posOffset>9792970</wp:posOffset>
          </wp:positionV>
          <wp:extent cx="7560000" cy="899280"/>
          <wp:effectExtent l="0" t="0" r="3175" b="0"/>
          <wp:wrapNone/>
          <wp:docPr id="14" name="Picture 14" descr="Victorian Cancer Agency -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89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BF75" w14:textId="77777777" w:rsidR="001D1BA3" w:rsidRDefault="001D1BA3">
    <w:pPr>
      <w:pStyle w:val="Footer"/>
    </w:pPr>
    <w:r>
      <w:rPr>
        <w:noProof/>
      </w:rPr>
      <mc:AlternateContent>
        <mc:Choice Requires="wps">
          <w:drawing>
            <wp:anchor distT="0" distB="0" distL="114300" distR="114300" simplePos="1" relativeHeight="251658242" behindDoc="0" locked="0" layoutInCell="0" allowOverlap="1" wp14:anchorId="756F42DD" wp14:editId="48651AF6">
              <wp:simplePos x="0" y="10189687"/>
              <wp:positionH relativeFrom="page">
                <wp:posOffset>0</wp:posOffset>
              </wp:positionH>
              <wp:positionV relativeFrom="page">
                <wp:posOffset>10189210</wp:posOffset>
              </wp:positionV>
              <wp:extent cx="7560310" cy="311785"/>
              <wp:effectExtent l="0" t="0" r="0" b="12065"/>
              <wp:wrapNone/>
              <wp:docPr id="3" name="MSIPCM2b99430c86d7bfe3eccc343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F764E" w14:textId="77777777" w:rsidR="001D1BA3" w:rsidRPr="001D1BA3" w:rsidRDefault="001D1BA3" w:rsidP="001D1BA3">
                          <w:pPr>
                            <w:jc w:val="center"/>
                            <w:rPr>
                              <w:rFonts w:ascii="Arial Black" w:hAnsi="Arial Black"/>
                              <w:color w:val="000000"/>
                            </w:rPr>
                          </w:pPr>
                          <w:r w:rsidRPr="001D1BA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F42DD" id="_x0000_t202" coordsize="21600,21600" o:spt="202" path="m,l,21600r21600,l21600,xe">
              <v:stroke joinstyle="miter"/>
              <v:path gradientshapeok="t" o:connecttype="rect"/>
            </v:shapetype>
            <v:shape id="MSIPCM2b99430c86d7bfe3eccc3434"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MjVCWrgIAAE4FAAAOAAAA&#10;AAAAAAAAAAAAAC4CAABkcnMvZTJvRG9jLnhtbFBLAQItABQABgAIAAAAIQBIDV6a3wAAAAsBAAAP&#10;AAAAAAAAAAAAAAAAAAgFAABkcnMvZG93bnJldi54bWxQSwUGAAAAAAQABADzAAAAFAYAAAAA&#10;" o:allowincell="f" filled="f" stroked="f" strokeweight=".5pt">
              <v:textbox inset=",0,,0">
                <w:txbxContent>
                  <w:p w14:paraId="772F764E" w14:textId="77777777" w:rsidR="001D1BA3" w:rsidRPr="001D1BA3" w:rsidRDefault="001D1BA3" w:rsidP="001D1BA3">
                    <w:pPr>
                      <w:jc w:val="center"/>
                      <w:rPr>
                        <w:rFonts w:ascii="Arial Black" w:hAnsi="Arial Black"/>
                        <w:color w:val="000000"/>
                      </w:rPr>
                    </w:pPr>
                    <w:r w:rsidRPr="001D1BA3">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5223" w14:textId="77777777" w:rsidR="009D70A4" w:rsidRPr="00A11421" w:rsidRDefault="001D1BA3" w:rsidP="0051568D">
    <w:pPr>
      <w:pStyle w:val="DHHSfooter"/>
    </w:pPr>
    <w:r>
      <w:rPr>
        <w:noProof/>
      </w:rPr>
      <mc:AlternateContent>
        <mc:Choice Requires="wps">
          <w:drawing>
            <wp:anchor distT="0" distB="0" distL="114300" distR="114300" simplePos="0" relativeHeight="251658243" behindDoc="0" locked="0" layoutInCell="0" allowOverlap="1" wp14:anchorId="69C820D0" wp14:editId="3D9FB669">
              <wp:simplePos x="0" y="0"/>
              <wp:positionH relativeFrom="page">
                <wp:posOffset>0</wp:posOffset>
              </wp:positionH>
              <wp:positionV relativeFrom="page">
                <wp:posOffset>10189210</wp:posOffset>
              </wp:positionV>
              <wp:extent cx="7560310" cy="311785"/>
              <wp:effectExtent l="0" t="0" r="0" b="12065"/>
              <wp:wrapNone/>
              <wp:docPr id="4" name="MSIPCMfbda4024bc611a6378214f4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4934B" w14:textId="77777777" w:rsidR="001D1BA3" w:rsidRPr="001D1BA3" w:rsidRDefault="001D1BA3" w:rsidP="001D1BA3">
                          <w:pPr>
                            <w:jc w:val="center"/>
                            <w:rPr>
                              <w:rFonts w:ascii="Arial Black" w:hAnsi="Arial Black"/>
                              <w:color w:val="000000"/>
                            </w:rPr>
                          </w:pPr>
                          <w:r w:rsidRPr="001D1BA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C820D0" id="_x0000_t202" coordsize="21600,21600" o:spt="202" path="m,l,21600r21600,l21600,xe">
              <v:stroke joinstyle="miter"/>
              <v:path gradientshapeok="t" o:connecttype="rect"/>
            </v:shapetype>
            <v:shape id="MSIPCMfbda4024bc611a6378214f4c"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vKOg4a8CAABMBQAADgAA&#10;AAAAAAAAAAAAAAAuAgAAZHJzL2Uyb0RvYy54bWxQSwECLQAUAAYACAAAACEASA1emt8AAAALAQAA&#10;DwAAAAAAAAAAAAAAAAAJBQAAZHJzL2Rvd25yZXYueG1sUEsFBgAAAAAEAAQA8wAAABUGAAAAAA==&#10;" o:allowincell="f" filled="f" stroked="f" strokeweight=".5pt">
              <v:textbox inset=",0,,0">
                <w:txbxContent>
                  <w:p w14:paraId="45D4934B" w14:textId="77777777" w:rsidR="001D1BA3" w:rsidRPr="001D1BA3" w:rsidRDefault="001D1BA3" w:rsidP="001D1BA3">
                    <w:pPr>
                      <w:jc w:val="center"/>
                      <w:rPr>
                        <w:rFonts w:ascii="Arial Black" w:hAnsi="Arial Black"/>
                        <w:color w:val="000000"/>
                      </w:rPr>
                    </w:pPr>
                    <w:r w:rsidRPr="001D1BA3">
                      <w:rPr>
                        <w:rFonts w:ascii="Arial Black" w:hAnsi="Arial Black"/>
                        <w:color w:val="000000"/>
                      </w:rPr>
                      <w:t>OFFICIAL</w:t>
                    </w:r>
                  </w:p>
                </w:txbxContent>
              </v:textbox>
              <w10:wrap anchorx="page" anchory="page"/>
            </v:shape>
          </w:pict>
        </mc:Fallback>
      </mc:AlternateContent>
    </w:r>
    <w:r w:rsidR="006A7802" w:rsidRPr="006A7802">
      <w:t xml:space="preserve"> </w:t>
    </w:r>
    <w:r w:rsidR="006A7802" w:rsidRPr="006A3092">
      <w:t xml:space="preserve">Statement on Consumer Engagement in </w:t>
    </w:r>
    <w:r w:rsidR="006A7802">
      <w:t xml:space="preserve">Cancer </w:t>
    </w:r>
    <w:r w:rsidR="006A7802" w:rsidRPr="006A3092">
      <w:t>Research</w:t>
    </w:r>
    <w:r w:rsidR="009D70A4" w:rsidRPr="00A11421">
      <w:tab/>
    </w:r>
    <w:r w:rsidR="009D70A4" w:rsidRPr="00A11421">
      <w:fldChar w:fldCharType="begin"/>
    </w:r>
    <w:r w:rsidR="009D70A4" w:rsidRPr="00A11421">
      <w:instrText xml:space="preserve"> PAGE </w:instrText>
    </w:r>
    <w:r w:rsidR="009D70A4" w:rsidRPr="00A11421">
      <w:fldChar w:fldCharType="separate"/>
    </w:r>
    <w:r w:rsidR="00C14669">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74C4" w14:textId="77777777" w:rsidR="00491193" w:rsidRDefault="00491193" w:rsidP="002862F1">
      <w:pPr>
        <w:spacing w:before="120"/>
      </w:pPr>
      <w:r>
        <w:separator/>
      </w:r>
    </w:p>
  </w:footnote>
  <w:footnote w:type="continuationSeparator" w:id="0">
    <w:p w14:paraId="5DF98416" w14:textId="77777777" w:rsidR="00491193" w:rsidRDefault="00491193">
      <w:r>
        <w:continuationSeparator/>
      </w:r>
    </w:p>
  </w:footnote>
  <w:footnote w:type="continuationNotice" w:id="1">
    <w:p w14:paraId="5251E1A0" w14:textId="77777777" w:rsidR="00491193" w:rsidRDefault="00491193"/>
  </w:footnote>
  <w:footnote w:id="2">
    <w:p w14:paraId="3325B4BC" w14:textId="241138C4" w:rsidR="006A7802" w:rsidRPr="009162DC" w:rsidRDefault="006A7802" w:rsidP="006A7802">
      <w:pPr>
        <w:pStyle w:val="FootnoteText"/>
        <w:rPr>
          <w:rFonts w:eastAsia="Roboto" w:cstheme="minorHAnsi"/>
          <w:color w:val="FFFFFF" w:themeColor="background1"/>
        </w:rPr>
      </w:pPr>
      <w:r w:rsidRPr="39A2A7EF">
        <w:rPr>
          <w:rStyle w:val="FootnoteReference"/>
        </w:rPr>
        <w:footnoteRef/>
      </w:r>
      <w:r>
        <w:t xml:space="preserve"> South Australian Health and Medical Research Institute</w:t>
      </w:r>
      <w:r w:rsidR="004C5AC6">
        <w:t>, Position Statement Community and Consumer Engagement in Research at SAHMRI</w:t>
      </w:r>
      <w:r w:rsidRPr="39A2A7EF">
        <w:t xml:space="preserve"> </w:t>
      </w:r>
      <w:r w:rsidR="004C5AC6">
        <w:t xml:space="preserve"> </w:t>
      </w:r>
      <w:hyperlink r:id="rId1" w:history="1">
        <w:r w:rsidR="004C5AC6" w:rsidRPr="000603B6">
          <w:rPr>
            <w:rStyle w:val="Hyperlink"/>
          </w:rPr>
          <w:t>https://sahmri.blob.core.windows.net/communications/sahmri.org/SAHMRI_CCE_Position_Statement_February_2021_final1.pdf</w:t>
        </w:r>
      </w:hyperlink>
      <w:r w:rsidR="004C5AC6">
        <w:t xml:space="preserve"> </w:t>
      </w:r>
    </w:p>
  </w:footnote>
  <w:footnote w:id="3">
    <w:p w14:paraId="48935AED" w14:textId="698F2C41" w:rsidR="006A7802" w:rsidRDefault="006A7802" w:rsidP="006A7802">
      <w:pPr>
        <w:pStyle w:val="FootnoteText"/>
      </w:pPr>
      <w:r>
        <w:rPr>
          <w:rStyle w:val="FootnoteReference"/>
        </w:rPr>
        <w:footnoteRef/>
      </w:r>
      <w:r>
        <w:t xml:space="preserve"> </w:t>
      </w:r>
      <w:r w:rsidRPr="00870540">
        <w:t xml:space="preserve">Cancer Australia, </w:t>
      </w:r>
      <w:hyperlink r:id="rId2" w:history="1">
        <w:r w:rsidRPr="00870540">
          <w:rPr>
            <w:rStyle w:val="Hyperlink"/>
          </w:rPr>
          <w:t>https://canceraustralia.gov.au/about-us/who-we-work/consumer-engagement</w:t>
        </w:r>
      </w:hyperlink>
      <w:r>
        <w:t xml:space="preserve"> </w:t>
      </w:r>
    </w:p>
  </w:footnote>
  <w:footnote w:id="4">
    <w:p w14:paraId="58140CA4" w14:textId="382B209E" w:rsidR="006A7802" w:rsidRDefault="006A7802" w:rsidP="006A7802">
      <w:pPr>
        <w:pStyle w:val="FootnoteText"/>
      </w:pPr>
      <w:r>
        <w:rPr>
          <w:rStyle w:val="FootnoteReference"/>
        </w:rPr>
        <w:footnoteRef/>
      </w:r>
      <w:r>
        <w:t xml:space="preserve"> Cancer Institute NSW, Consumer and Community Engagement Framework </w:t>
      </w:r>
      <w:hyperlink r:id="rId3" w:history="1">
        <w:r w:rsidRPr="000603B6">
          <w:rPr>
            <w:rStyle w:val="Hyperlink"/>
          </w:rPr>
          <w:t>https://www.cancer.nsw.gov.au/getmedia/3109d65f-6135-4df5-82a5-59fc4408159b/Consumer-Community-Engagement-Framework.pdf</w:t>
        </w:r>
      </w:hyperlink>
      <w:r>
        <w:t xml:space="preserve"> </w:t>
      </w:r>
    </w:p>
  </w:footnote>
  <w:footnote w:id="5">
    <w:p w14:paraId="1435C18D" w14:textId="67D02BBF" w:rsidR="00D11EA9" w:rsidRDefault="00D11EA9">
      <w:pPr>
        <w:pStyle w:val="FootnoteText"/>
      </w:pPr>
      <w:r>
        <w:rPr>
          <w:rStyle w:val="FootnoteReference"/>
        </w:rPr>
        <w:footnoteRef/>
      </w:r>
      <w:r>
        <w:t xml:space="preserve"> </w:t>
      </w:r>
      <w:r w:rsidRPr="00D11EA9">
        <w:t>Victorian Aboriginal Community Controlled Health Organisation</w:t>
      </w:r>
      <w:r>
        <w:t>,</w:t>
      </w:r>
      <w:r w:rsidRPr="00D11EA9">
        <w:t xml:space="preserve"> </w:t>
      </w:r>
      <w:hyperlink r:id="rId4" w:history="1">
        <w:r w:rsidRPr="00C9263A">
          <w:rPr>
            <w:rStyle w:val="Hyperlink"/>
          </w:rPr>
          <w:t>https://www.vaccho.org.au/research-resources/varap/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7CB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8D779A9"/>
    <w:multiLevelType w:val="hybridMultilevel"/>
    <w:tmpl w:val="43F69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0749D0"/>
    <w:multiLevelType w:val="hybridMultilevel"/>
    <w:tmpl w:val="CAB05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970236B"/>
    <w:multiLevelType w:val="hybridMultilevel"/>
    <w:tmpl w:val="CC52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121CE0"/>
    <w:multiLevelType w:val="hybridMultilevel"/>
    <w:tmpl w:val="FFFFFFFF"/>
    <w:lvl w:ilvl="0" w:tplc="DEBC5C94">
      <w:start w:val="1"/>
      <w:numFmt w:val="bullet"/>
      <w:lvlText w:val="·"/>
      <w:lvlJc w:val="left"/>
      <w:pPr>
        <w:ind w:left="720" w:hanging="360"/>
      </w:pPr>
      <w:rPr>
        <w:rFonts w:ascii="Symbol" w:hAnsi="Symbol" w:hint="default"/>
      </w:rPr>
    </w:lvl>
    <w:lvl w:ilvl="1" w:tplc="18A4CE86">
      <w:start w:val="1"/>
      <w:numFmt w:val="bullet"/>
      <w:lvlText w:val="o"/>
      <w:lvlJc w:val="left"/>
      <w:pPr>
        <w:ind w:left="1440" w:hanging="360"/>
      </w:pPr>
      <w:rPr>
        <w:rFonts w:ascii="Courier New" w:hAnsi="Courier New" w:hint="default"/>
      </w:rPr>
    </w:lvl>
    <w:lvl w:ilvl="2" w:tplc="A6185DF2">
      <w:start w:val="1"/>
      <w:numFmt w:val="bullet"/>
      <w:lvlText w:val=""/>
      <w:lvlJc w:val="left"/>
      <w:pPr>
        <w:ind w:left="2160" w:hanging="360"/>
      </w:pPr>
      <w:rPr>
        <w:rFonts w:ascii="Wingdings" w:hAnsi="Wingdings" w:hint="default"/>
      </w:rPr>
    </w:lvl>
    <w:lvl w:ilvl="3" w:tplc="90C8BF4E">
      <w:start w:val="1"/>
      <w:numFmt w:val="bullet"/>
      <w:lvlText w:val=""/>
      <w:lvlJc w:val="left"/>
      <w:pPr>
        <w:ind w:left="2880" w:hanging="360"/>
      </w:pPr>
      <w:rPr>
        <w:rFonts w:ascii="Symbol" w:hAnsi="Symbol" w:hint="default"/>
      </w:rPr>
    </w:lvl>
    <w:lvl w:ilvl="4" w:tplc="C4709654">
      <w:start w:val="1"/>
      <w:numFmt w:val="bullet"/>
      <w:lvlText w:val="o"/>
      <w:lvlJc w:val="left"/>
      <w:pPr>
        <w:ind w:left="3600" w:hanging="360"/>
      </w:pPr>
      <w:rPr>
        <w:rFonts w:ascii="Courier New" w:hAnsi="Courier New" w:hint="default"/>
      </w:rPr>
    </w:lvl>
    <w:lvl w:ilvl="5" w:tplc="9B6C1548">
      <w:start w:val="1"/>
      <w:numFmt w:val="bullet"/>
      <w:lvlText w:val=""/>
      <w:lvlJc w:val="left"/>
      <w:pPr>
        <w:ind w:left="4320" w:hanging="360"/>
      </w:pPr>
      <w:rPr>
        <w:rFonts w:ascii="Wingdings" w:hAnsi="Wingdings" w:hint="default"/>
      </w:rPr>
    </w:lvl>
    <w:lvl w:ilvl="6" w:tplc="EB163D3C">
      <w:start w:val="1"/>
      <w:numFmt w:val="bullet"/>
      <w:lvlText w:val=""/>
      <w:lvlJc w:val="left"/>
      <w:pPr>
        <w:ind w:left="5040" w:hanging="360"/>
      </w:pPr>
      <w:rPr>
        <w:rFonts w:ascii="Symbol" w:hAnsi="Symbol" w:hint="default"/>
      </w:rPr>
    </w:lvl>
    <w:lvl w:ilvl="7" w:tplc="B3EAA5AE">
      <w:start w:val="1"/>
      <w:numFmt w:val="bullet"/>
      <w:lvlText w:val="o"/>
      <w:lvlJc w:val="left"/>
      <w:pPr>
        <w:ind w:left="5760" w:hanging="360"/>
      </w:pPr>
      <w:rPr>
        <w:rFonts w:ascii="Courier New" w:hAnsi="Courier New" w:hint="default"/>
      </w:rPr>
    </w:lvl>
    <w:lvl w:ilvl="8" w:tplc="ADECB624">
      <w:start w:val="1"/>
      <w:numFmt w:val="bullet"/>
      <w:lvlText w:val=""/>
      <w:lvlJc w:val="left"/>
      <w:pPr>
        <w:ind w:left="6480" w:hanging="360"/>
      </w:pPr>
      <w:rPr>
        <w:rFonts w:ascii="Wingdings" w:hAnsi="Wingdings" w:hint="default"/>
      </w:rPr>
    </w:lvl>
  </w:abstractNum>
  <w:abstractNum w:abstractNumId="15" w15:restartNumberingAfterBreak="0">
    <w:nsid w:val="7F3A3274"/>
    <w:multiLevelType w:val="hybridMultilevel"/>
    <w:tmpl w:val="74683510"/>
    <w:lvl w:ilvl="0" w:tplc="0DD03D22">
      <w:start w:val="1"/>
      <w:numFmt w:val="bullet"/>
      <w:lvlText w:val="·"/>
      <w:lvlJc w:val="left"/>
      <w:pPr>
        <w:ind w:left="720" w:hanging="360"/>
      </w:pPr>
      <w:rPr>
        <w:rFonts w:ascii="Symbol" w:hAnsi="Symbol" w:hint="default"/>
      </w:rPr>
    </w:lvl>
    <w:lvl w:ilvl="1" w:tplc="A4280CFA">
      <w:start w:val="1"/>
      <w:numFmt w:val="bullet"/>
      <w:lvlText w:val="o"/>
      <w:lvlJc w:val="left"/>
      <w:pPr>
        <w:ind w:left="1440" w:hanging="360"/>
      </w:pPr>
      <w:rPr>
        <w:rFonts w:ascii="Courier New" w:hAnsi="Courier New" w:hint="default"/>
      </w:rPr>
    </w:lvl>
    <w:lvl w:ilvl="2" w:tplc="29ECC4A8">
      <w:start w:val="1"/>
      <w:numFmt w:val="bullet"/>
      <w:lvlText w:val=""/>
      <w:lvlJc w:val="left"/>
      <w:pPr>
        <w:ind w:left="2160" w:hanging="360"/>
      </w:pPr>
      <w:rPr>
        <w:rFonts w:ascii="Wingdings" w:hAnsi="Wingdings" w:hint="default"/>
      </w:rPr>
    </w:lvl>
    <w:lvl w:ilvl="3" w:tplc="0E44CB4E">
      <w:start w:val="1"/>
      <w:numFmt w:val="bullet"/>
      <w:lvlText w:val=""/>
      <w:lvlJc w:val="left"/>
      <w:pPr>
        <w:ind w:left="2880" w:hanging="360"/>
      </w:pPr>
      <w:rPr>
        <w:rFonts w:ascii="Symbol" w:hAnsi="Symbol" w:hint="default"/>
      </w:rPr>
    </w:lvl>
    <w:lvl w:ilvl="4" w:tplc="FD38F39C">
      <w:start w:val="1"/>
      <w:numFmt w:val="bullet"/>
      <w:lvlText w:val="o"/>
      <w:lvlJc w:val="left"/>
      <w:pPr>
        <w:ind w:left="3600" w:hanging="360"/>
      </w:pPr>
      <w:rPr>
        <w:rFonts w:ascii="Courier New" w:hAnsi="Courier New" w:hint="default"/>
      </w:rPr>
    </w:lvl>
    <w:lvl w:ilvl="5" w:tplc="552870BA">
      <w:start w:val="1"/>
      <w:numFmt w:val="bullet"/>
      <w:lvlText w:val=""/>
      <w:lvlJc w:val="left"/>
      <w:pPr>
        <w:ind w:left="4320" w:hanging="360"/>
      </w:pPr>
      <w:rPr>
        <w:rFonts w:ascii="Wingdings" w:hAnsi="Wingdings" w:hint="default"/>
      </w:rPr>
    </w:lvl>
    <w:lvl w:ilvl="6" w:tplc="1C52D6B6">
      <w:start w:val="1"/>
      <w:numFmt w:val="bullet"/>
      <w:lvlText w:val=""/>
      <w:lvlJc w:val="left"/>
      <w:pPr>
        <w:ind w:left="5040" w:hanging="360"/>
      </w:pPr>
      <w:rPr>
        <w:rFonts w:ascii="Symbol" w:hAnsi="Symbol" w:hint="default"/>
      </w:rPr>
    </w:lvl>
    <w:lvl w:ilvl="7" w:tplc="9AEA8662">
      <w:start w:val="1"/>
      <w:numFmt w:val="bullet"/>
      <w:lvlText w:val="o"/>
      <w:lvlJc w:val="left"/>
      <w:pPr>
        <w:ind w:left="5760" w:hanging="360"/>
      </w:pPr>
      <w:rPr>
        <w:rFonts w:ascii="Courier New" w:hAnsi="Courier New" w:hint="default"/>
      </w:rPr>
    </w:lvl>
    <w:lvl w:ilvl="8" w:tplc="C226C1AA">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num>
  <w:num w:numId="26">
    <w:abstractNumId w:val="9"/>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08C8"/>
    <w:rsid w:val="00005248"/>
    <w:rsid w:val="000072B6"/>
    <w:rsid w:val="0001021B"/>
    <w:rsid w:val="00010A68"/>
    <w:rsid w:val="00011D89"/>
    <w:rsid w:val="000154FD"/>
    <w:rsid w:val="00021063"/>
    <w:rsid w:val="00024D89"/>
    <w:rsid w:val="000250B6"/>
    <w:rsid w:val="00033D81"/>
    <w:rsid w:val="00041BF0"/>
    <w:rsid w:val="0004536B"/>
    <w:rsid w:val="00046B68"/>
    <w:rsid w:val="000511A5"/>
    <w:rsid w:val="000527DD"/>
    <w:rsid w:val="000578B2"/>
    <w:rsid w:val="00060959"/>
    <w:rsid w:val="00062817"/>
    <w:rsid w:val="000663CD"/>
    <w:rsid w:val="00072DC8"/>
    <w:rsid w:val="000733FE"/>
    <w:rsid w:val="00074219"/>
    <w:rsid w:val="00074ED5"/>
    <w:rsid w:val="0008508E"/>
    <w:rsid w:val="0009113B"/>
    <w:rsid w:val="00093402"/>
    <w:rsid w:val="00094DA3"/>
    <w:rsid w:val="00095382"/>
    <w:rsid w:val="00096CD1"/>
    <w:rsid w:val="00097ACB"/>
    <w:rsid w:val="000A012C"/>
    <w:rsid w:val="000A0EB9"/>
    <w:rsid w:val="000A186C"/>
    <w:rsid w:val="000A1EA4"/>
    <w:rsid w:val="000A61DB"/>
    <w:rsid w:val="000B3EDB"/>
    <w:rsid w:val="000B543D"/>
    <w:rsid w:val="000B5BF7"/>
    <w:rsid w:val="000B6BC8"/>
    <w:rsid w:val="000C0303"/>
    <w:rsid w:val="000C42EA"/>
    <w:rsid w:val="000C4546"/>
    <w:rsid w:val="000C47DD"/>
    <w:rsid w:val="000C485A"/>
    <w:rsid w:val="000D1242"/>
    <w:rsid w:val="000E0970"/>
    <w:rsid w:val="000E3CC7"/>
    <w:rsid w:val="000E6BD4"/>
    <w:rsid w:val="000F1F1E"/>
    <w:rsid w:val="000F2259"/>
    <w:rsid w:val="000F7F94"/>
    <w:rsid w:val="0010392D"/>
    <w:rsid w:val="0010447F"/>
    <w:rsid w:val="00104FE3"/>
    <w:rsid w:val="00120BD3"/>
    <w:rsid w:val="00122FEA"/>
    <w:rsid w:val="001232BD"/>
    <w:rsid w:val="00124ED5"/>
    <w:rsid w:val="001276FA"/>
    <w:rsid w:val="0013092C"/>
    <w:rsid w:val="001447B3"/>
    <w:rsid w:val="00152073"/>
    <w:rsid w:val="00156598"/>
    <w:rsid w:val="00161939"/>
    <w:rsid w:val="00161AA0"/>
    <w:rsid w:val="00162093"/>
    <w:rsid w:val="001708C8"/>
    <w:rsid w:val="00172BAF"/>
    <w:rsid w:val="001771DD"/>
    <w:rsid w:val="00177995"/>
    <w:rsid w:val="00177A8C"/>
    <w:rsid w:val="00182CFD"/>
    <w:rsid w:val="00183C73"/>
    <w:rsid w:val="00186B33"/>
    <w:rsid w:val="00192F9D"/>
    <w:rsid w:val="00193501"/>
    <w:rsid w:val="00196EB8"/>
    <w:rsid w:val="00196EFB"/>
    <w:rsid w:val="001979FF"/>
    <w:rsid w:val="00197B17"/>
    <w:rsid w:val="001A1C54"/>
    <w:rsid w:val="001A3ACE"/>
    <w:rsid w:val="001A79AF"/>
    <w:rsid w:val="001B7D5E"/>
    <w:rsid w:val="001C277E"/>
    <w:rsid w:val="001C2A72"/>
    <w:rsid w:val="001C76FA"/>
    <w:rsid w:val="001D0B75"/>
    <w:rsid w:val="001D1BA3"/>
    <w:rsid w:val="001D3BDA"/>
    <w:rsid w:val="001D3C09"/>
    <w:rsid w:val="001D44E8"/>
    <w:rsid w:val="001D60EC"/>
    <w:rsid w:val="001E1399"/>
    <w:rsid w:val="001E44DF"/>
    <w:rsid w:val="001E68A5"/>
    <w:rsid w:val="001E6BB0"/>
    <w:rsid w:val="001F3826"/>
    <w:rsid w:val="001F6E46"/>
    <w:rsid w:val="001F7C91"/>
    <w:rsid w:val="00206463"/>
    <w:rsid w:val="00206F2F"/>
    <w:rsid w:val="0021053D"/>
    <w:rsid w:val="00210A92"/>
    <w:rsid w:val="00216C03"/>
    <w:rsid w:val="00220C04"/>
    <w:rsid w:val="0022278D"/>
    <w:rsid w:val="00222A0A"/>
    <w:rsid w:val="00222A9A"/>
    <w:rsid w:val="0022701F"/>
    <w:rsid w:val="00232942"/>
    <w:rsid w:val="002333F5"/>
    <w:rsid w:val="00233724"/>
    <w:rsid w:val="002432E1"/>
    <w:rsid w:val="00246207"/>
    <w:rsid w:val="00246C5E"/>
    <w:rsid w:val="00251343"/>
    <w:rsid w:val="0025254C"/>
    <w:rsid w:val="002536A4"/>
    <w:rsid w:val="00254F58"/>
    <w:rsid w:val="00255230"/>
    <w:rsid w:val="002620BC"/>
    <w:rsid w:val="00262802"/>
    <w:rsid w:val="00263A90"/>
    <w:rsid w:val="0026408B"/>
    <w:rsid w:val="00267C3E"/>
    <w:rsid w:val="002709BB"/>
    <w:rsid w:val="00273BAC"/>
    <w:rsid w:val="002763B3"/>
    <w:rsid w:val="002802E3"/>
    <w:rsid w:val="0028045D"/>
    <w:rsid w:val="0028213D"/>
    <w:rsid w:val="002862F1"/>
    <w:rsid w:val="00291373"/>
    <w:rsid w:val="0029597D"/>
    <w:rsid w:val="002962C3"/>
    <w:rsid w:val="0029752B"/>
    <w:rsid w:val="002A483C"/>
    <w:rsid w:val="002B0C7C"/>
    <w:rsid w:val="002B1729"/>
    <w:rsid w:val="002B36C7"/>
    <w:rsid w:val="002B4DD4"/>
    <w:rsid w:val="002B5277"/>
    <w:rsid w:val="002B5375"/>
    <w:rsid w:val="002B5ABC"/>
    <w:rsid w:val="002B77C1"/>
    <w:rsid w:val="002C2728"/>
    <w:rsid w:val="002C5FC6"/>
    <w:rsid w:val="002D5006"/>
    <w:rsid w:val="002E01D0"/>
    <w:rsid w:val="002E161D"/>
    <w:rsid w:val="002E3100"/>
    <w:rsid w:val="002E6C95"/>
    <w:rsid w:val="002E7C36"/>
    <w:rsid w:val="002F5F31"/>
    <w:rsid w:val="002F5F46"/>
    <w:rsid w:val="00302216"/>
    <w:rsid w:val="00303E53"/>
    <w:rsid w:val="00305C1F"/>
    <w:rsid w:val="00306E5F"/>
    <w:rsid w:val="00307E14"/>
    <w:rsid w:val="00314054"/>
    <w:rsid w:val="00315314"/>
    <w:rsid w:val="00315B4B"/>
    <w:rsid w:val="00316F27"/>
    <w:rsid w:val="00322E4B"/>
    <w:rsid w:val="00327870"/>
    <w:rsid w:val="0033259D"/>
    <w:rsid w:val="003333D2"/>
    <w:rsid w:val="003406C6"/>
    <w:rsid w:val="003418CC"/>
    <w:rsid w:val="003459BD"/>
    <w:rsid w:val="00345C20"/>
    <w:rsid w:val="00350D38"/>
    <w:rsid w:val="00351B36"/>
    <w:rsid w:val="00357B4E"/>
    <w:rsid w:val="00370931"/>
    <w:rsid w:val="003716FD"/>
    <w:rsid w:val="0037204B"/>
    <w:rsid w:val="003744CF"/>
    <w:rsid w:val="00374717"/>
    <w:rsid w:val="0037676C"/>
    <w:rsid w:val="00381043"/>
    <w:rsid w:val="003829E5"/>
    <w:rsid w:val="003956CC"/>
    <w:rsid w:val="00395C9A"/>
    <w:rsid w:val="003A6B67"/>
    <w:rsid w:val="003B13B6"/>
    <w:rsid w:val="003B15E6"/>
    <w:rsid w:val="003C08A2"/>
    <w:rsid w:val="003C0E1E"/>
    <w:rsid w:val="003C2045"/>
    <w:rsid w:val="003C2F9D"/>
    <w:rsid w:val="003C43A1"/>
    <w:rsid w:val="003C4FC0"/>
    <w:rsid w:val="003C55F4"/>
    <w:rsid w:val="003C7897"/>
    <w:rsid w:val="003C7A3F"/>
    <w:rsid w:val="003D2766"/>
    <w:rsid w:val="003D3E8F"/>
    <w:rsid w:val="003D6475"/>
    <w:rsid w:val="003D72F9"/>
    <w:rsid w:val="003E375C"/>
    <w:rsid w:val="003E4086"/>
    <w:rsid w:val="003E673A"/>
    <w:rsid w:val="003F0445"/>
    <w:rsid w:val="003F0CF0"/>
    <w:rsid w:val="003F0DF1"/>
    <w:rsid w:val="003F14B1"/>
    <w:rsid w:val="003F2696"/>
    <w:rsid w:val="003F3289"/>
    <w:rsid w:val="003F732A"/>
    <w:rsid w:val="004013C7"/>
    <w:rsid w:val="00401FCF"/>
    <w:rsid w:val="00406285"/>
    <w:rsid w:val="004148F9"/>
    <w:rsid w:val="0042084E"/>
    <w:rsid w:val="00421EEF"/>
    <w:rsid w:val="00424D65"/>
    <w:rsid w:val="00427233"/>
    <w:rsid w:val="004326C0"/>
    <w:rsid w:val="00435C30"/>
    <w:rsid w:val="00442C6C"/>
    <w:rsid w:val="00443CBE"/>
    <w:rsid w:val="00443E8A"/>
    <w:rsid w:val="004441BC"/>
    <w:rsid w:val="004468B4"/>
    <w:rsid w:val="0045230A"/>
    <w:rsid w:val="004556E0"/>
    <w:rsid w:val="00457337"/>
    <w:rsid w:val="00467C71"/>
    <w:rsid w:val="0047008A"/>
    <w:rsid w:val="0047372D"/>
    <w:rsid w:val="00473BA3"/>
    <w:rsid w:val="004743DD"/>
    <w:rsid w:val="00474CEA"/>
    <w:rsid w:val="004776A4"/>
    <w:rsid w:val="00483968"/>
    <w:rsid w:val="00484F86"/>
    <w:rsid w:val="00490746"/>
    <w:rsid w:val="00490852"/>
    <w:rsid w:val="00491193"/>
    <w:rsid w:val="00492F30"/>
    <w:rsid w:val="004946F4"/>
    <w:rsid w:val="0049487E"/>
    <w:rsid w:val="004A160D"/>
    <w:rsid w:val="004A3E81"/>
    <w:rsid w:val="004A5C62"/>
    <w:rsid w:val="004A707D"/>
    <w:rsid w:val="004A7DC6"/>
    <w:rsid w:val="004B598B"/>
    <w:rsid w:val="004C5AC6"/>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165CE"/>
    <w:rsid w:val="005212D9"/>
    <w:rsid w:val="00526C15"/>
    <w:rsid w:val="00536499"/>
    <w:rsid w:val="00543903"/>
    <w:rsid w:val="00543F11"/>
    <w:rsid w:val="00547A95"/>
    <w:rsid w:val="0055687A"/>
    <w:rsid w:val="00572031"/>
    <w:rsid w:val="00572282"/>
    <w:rsid w:val="00576E84"/>
    <w:rsid w:val="00582B8C"/>
    <w:rsid w:val="0058757E"/>
    <w:rsid w:val="00587B85"/>
    <w:rsid w:val="00596A4B"/>
    <w:rsid w:val="00597507"/>
    <w:rsid w:val="005B1C6D"/>
    <w:rsid w:val="005B21B6"/>
    <w:rsid w:val="005B3A08"/>
    <w:rsid w:val="005B7A63"/>
    <w:rsid w:val="005C0955"/>
    <w:rsid w:val="005C3D0A"/>
    <w:rsid w:val="005C49DA"/>
    <w:rsid w:val="005C50F3"/>
    <w:rsid w:val="005C54B5"/>
    <w:rsid w:val="005C5D80"/>
    <w:rsid w:val="005C5D91"/>
    <w:rsid w:val="005D07B8"/>
    <w:rsid w:val="005D6597"/>
    <w:rsid w:val="005E14E7"/>
    <w:rsid w:val="005E26A3"/>
    <w:rsid w:val="005E447E"/>
    <w:rsid w:val="005E770B"/>
    <w:rsid w:val="005F0775"/>
    <w:rsid w:val="005F0CF5"/>
    <w:rsid w:val="005F21EB"/>
    <w:rsid w:val="00605908"/>
    <w:rsid w:val="00610D7C"/>
    <w:rsid w:val="00613414"/>
    <w:rsid w:val="00614FE4"/>
    <w:rsid w:val="00620154"/>
    <w:rsid w:val="0062408D"/>
    <w:rsid w:val="006240CC"/>
    <w:rsid w:val="00624F93"/>
    <w:rsid w:val="006254F8"/>
    <w:rsid w:val="00627DA7"/>
    <w:rsid w:val="006358B4"/>
    <w:rsid w:val="006359FE"/>
    <w:rsid w:val="00635CDA"/>
    <w:rsid w:val="00640CD1"/>
    <w:rsid w:val="006419AA"/>
    <w:rsid w:val="00644B1F"/>
    <w:rsid w:val="00644B7E"/>
    <w:rsid w:val="006454E6"/>
    <w:rsid w:val="00646235"/>
    <w:rsid w:val="00646A68"/>
    <w:rsid w:val="0065092E"/>
    <w:rsid w:val="006557A7"/>
    <w:rsid w:val="00656290"/>
    <w:rsid w:val="006621D7"/>
    <w:rsid w:val="00662C26"/>
    <w:rsid w:val="0066302A"/>
    <w:rsid w:val="00670597"/>
    <w:rsid w:val="006706D0"/>
    <w:rsid w:val="0067719F"/>
    <w:rsid w:val="00677574"/>
    <w:rsid w:val="00683463"/>
    <w:rsid w:val="0068454C"/>
    <w:rsid w:val="00691B62"/>
    <w:rsid w:val="006933B5"/>
    <w:rsid w:val="00693D14"/>
    <w:rsid w:val="00694CEA"/>
    <w:rsid w:val="00697954"/>
    <w:rsid w:val="006A0794"/>
    <w:rsid w:val="006A18C2"/>
    <w:rsid w:val="006A3092"/>
    <w:rsid w:val="006A780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06A7"/>
    <w:rsid w:val="007346E4"/>
    <w:rsid w:val="00740F22"/>
    <w:rsid w:val="00741F1A"/>
    <w:rsid w:val="007450F8"/>
    <w:rsid w:val="0074696E"/>
    <w:rsid w:val="00750135"/>
    <w:rsid w:val="00750EC2"/>
    <w:rsid w:val="00752B28"/>
    <w:rsid w:val="00753DC9"/>
    <w:rsid w:val="00754E36"/>
    <w:rsid w:val="00763139"/>
    <w:rsid w:val="00767E38"/>
    <w:rsid w:val="00770F37"/>
    <w:rsid w:val="007711A0"/>
    <w:rsid w:val="00772D5E"/>
    <w:rsid w:val="00776928"/>
    <w:rsid w:val="00785677"/>
    <w:rsid w:val="00786F16"/>
    <w:rsid w:val="00791BD7"/>
    <w:rsid w:val="007933F7"/>
    <w:rsid w:val="00796E20"/>
    <w:rsid w:val="00797C32"/>
    <w:rsid w:val="007A11E8"/>
    <w:rsid w:val="007B090D"/>
    <w:rsid w:val="007B0914"/>
    <w:rsid w:val="007B1374"/>
    <w:rsid w:val="007B42B8"/>
    <w:rsid w:val="007B4A23"/>
    <w:rsid w:val="007B589F"/>
    <w:rsid w:val="007B6186"/>
    <w:rsid w:val="007B73BC"/>
    <w:rsid w:val="007C20B9"/>
    <w:rsid w:val="007C7301"/>
    <w:rsid w:val="007C7859"/>
    <w:rsid w:val="007D2BDE"/>
    <w:rsid w:val="007D2FB6"/>
    <w:rsid w:val="007D49EB"/>
    <w:rsid w:val="007D5E8D"/>
    <w:rsid w:val="007E0DE2"/>
    <w:rsid w:val="007E37BA"/>
    <w:rsid w:val="007E3B98"/>
    <w:rsid w:val="007E40AD"/>
    <w:rsid w:val="007E417A"/>
    <w:rsid w:val="007E6E13"/>
    <w:rsid w:val="007F31B6"/>
    <w:rsid w:val="007F546C"/>
    <w:rsid w:val="007F625F"/>
    <w:rsid w:val="007F665E"/>
    <w:rsid w:val="00800412"/>
    <w:rsid w:val="0080587B"/>
    <w:rsid w:val="00806468"/>
    <w:rsid w:val="00814ECD"/>
    <w:rsid w:val="008155F0"/>
    <w:rsid w:val="00816735"/>
    <w:rsid w:val="00816A39"/>
    <w:rsid w:val="008200C5"/>
    <w:rsid w:val="00820141"/>
    <w:rsid w:val="00820E0C"/>
    <w:rsid w:val="0082366F"/>
    <w:rsid w:val="008338A2"/>
    <w:rsid w:val="00841AA9"/>
    <w:rsid w:val="00853EE4"/>
    <w:rsid w:val="00855535"/>
    <w:rsid w:val="00857A7D"/>
    <w:rsid w:val="00857C5A"/>
    <w:rsid w:val="0086255E"/>
    <w:rsid w:val="008625D4"/>
    <w:rsid w:val="008633F0"/>
    <w:rsid w:val="00867D9D"/>
    <w:rsid w:val="00872E0A"/>
    <w:rsid w:val="00875285"/>
    <w:rsid w:val="00884AD9"/>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E7B49"/>
    <w:rsid w:val="008F30AA"/>
    <w:rsid w:val="008F59F6"/>
    <w:rsid w:val="00900719"/>
    <w:rsid w:val="009017AC"/>
    <w:rsid w:val="00904A1C"/>
    <w:rsid w:val="00905030"/>
    <w:rsid w:val="00906490"/>
    <w:rsid w:val="009111B2"/>
    <w:rsid w:val="00924AE1"/>
    <w:rsid w:val="00925BC0"/>
    <w:rsid w:val="009269B1"/>
    <w:rsid w:val="0092724D"/>
    <w:rsid w:val="0093338F"/>
    <w:rsid w:val="00937BD9"/>
    <w:rsid w:val="00947398"/>
    <w:rsid w:val="00950E2C"/>
    <w:rsid w:val="00951D50"/>
    <w:rsid w:val="009525EB"/>
    <w:rsid w:val="00954874"/>
    <w:rsid w:val="00961400"/>
    <w:rsid w:val="00963646"/>
    <w:rsid w:val="0096632D"/>
    <w:rsid w:val="0097559F"/>
    <w:rsid w:val="00977CD8"/>
    <w:rsid w:val="00981F0C"/>
    <w:rsid w:val="009853E1"/>
    <w:rsid w:val="00986E6B"/>
    <w:rsid w:val="00991769"/>
    <w:rsid w:val="00994386"/>
    <w:rsid w:val="009A13D8"/>
    <w:rsid w:val="009A279E"/>
    <w:rsid w:val="009B0A6F"/>
    <w:rsid w:val="009B0A94"/>
    <w:rsid w:val="009B59E9"/>
    <w:rsid w:val="009B70AA"/>
    <w:rsid w:val="009C5E77"/>
    <w:rsid w:val="009C757A"/>
    <w:rsid w:val="009C7A7E"/>
    <w:rsid w:val="009D02E8"/>
    <w:rsid w:val="009D4A9D"/>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0F49"/>
    <w:rsid w:val="00A11421"/>
    <w:rsid w:val="00A117E1"/>
    <w:rsid w:val="00A157B1"/>
    <w:rsid w:val="00A22229"/>
    <w:rsid w:val="00A30754"/>
    <w:rsid w:val="00A330BB"/>
    <w:rsid w:val="00A332A5"/>
    <w:rsid w:val="00A44882"/>
    <w:rsid w:val="00A54715"/>
    <w:rsid w:val="00A6061C"/>
    <w:rsid w:val="00A62D44"/>
    <w:rsid w:val="00A65AEE"/>
    <w:rsid w:val="00A67263"/>
    <w:rsid w:val="00A7161C"/>
    <w:rsid w:val="00A77AA3"/>
    <w:rsid w:val="00A854EB"/>
    <w:rsid w:val="00A872E5"/>
    <w:rsid w:val="00A91406"/>
    <w:rsid w:val="00A96E65"/>
    <w:rsid w:val="00A97C72"/>
    <w:rsid w:val="00AA63D4"/>
    <w:rsid w:val="00AB06E8"/>
    <w:rsid w:val="00AB1CD3"/>
    <w:rsid w:val="00AB352F"/>
    <w:rsid w:val="00AC00DD"/>
    <w:rsid w:val="00AC274B"/>
    <w:rsid w:val="00AC4764"/>
    <w:rsid w:val="00AC6D36"/>
    <w:rsid w:val="00AD0CBA"/>
    <w:rsid w:val="00AD26E2"/>
    <w:rsid w:val="00AD784C"/>
    <w:rsid w:val="00AE126A"/>
    <w:rsid w:val="00AE3005"/>
    <w:rsid w:val="00AE3BD5"/>
    <w:rsid w:val="00AE5216"/>
    <w:rsid w:val="00AE59A0"/>
    <w:rsid w:val="00AF0A4E"/>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4CA"/>
    <w:rsid w:val="00B431E8"/>
    <w:rsid w:val="00B45141"/>
    <w:rsid w:val="00B50E61"/>
    <w:rsid w:val="00B5273A"/>
    <w:rsid w:val="00B555FF"/>
    <w:rsid w:val="00B57329"/>
    <w:rsid w:val="00B60E61"/>
    <w:rsid w:val="00B624B1"/>
    <w:rsid w:val="00B62647"/>
    <w:rsid w:val="00B62B50"/>
    <w:rsid w:val="00B635B7"/>
    <w:rsid w:val="00B63AE8"/>
    <w:rsid w:val="00B65950"/>
    <w:rsid w:val="00B66D83"/>
    <w:rsid w:val="00B672C0"/>
    <w:rsid w:val="00B75646"/>
    <w:rsid w:val="00B874E3"/>
    <w:rsid w:val="00B90729"/>
    <w:rsid w:val="00B907DA"/>
    <w:rsid w:val="00B950BC"/>
    <w:rsid w:val="00B9714C"/>
    <w:rsid w:val="00BA05E4"/>
    <w:rsid w:val="00BA29AD"/>
    <w:rsid w:val="00BA3F8D"/>
    <w:rsid w:val="00BA5860"/>
    <w:rsid w:val="00BB1C4E"/>
    <w:rsid w:val="00BB30F1"/>
    <w:rsid w:val="00BB7A10"/>
    <w:rsid w:val="00BC2781"/>
    <w:rsid w:val="00BC386A"/>
    <w:rsid w:val="00BC7468"/>
    <w:rsid w:val="00BC7D4F"/>
    <w:rsid w:val="00BC7ED7"/>
    <w:rsid w:val="00BD2111"/>
    <w:rsid w:val="00BD2850"/>
    <w:rsid w:val="00BD2A2E"/>
    <w:rsid w:val="00BD2F16"/>
    <w:rsid w:val="00BE28D2"/>
    <w:rsid w:val="00BE348F"/>
    <w:rsid w:val="00BE4A64"/>
    <w:rsid w:val="00BE6F9C"/>
    <w:rsid w:val="00BF557D"/>
    <w:rsid w:val="00BF7F58"/>
    <w:rsid w:val="00C01381"/>
    <w:rsid w:val="00C01AB1"/>
    <w:rsid w:val="00C04807"/>
    <w:rsid w:val="00C079B8"/>
    <w:rsid w:val="00C10037"/>
    <w:rsid w:val="00C123EA"/>
    <w:rsid w:val="00C12A49"/>
    <w:rsid w:val="00C133EE"/>
    <w:rsid w:val="00C14669"/>
    <w:rsid w:val="00C149D0"/>
    <w:rsid w:val="00C26588"/>
    <w:rsid w:val="00C27DE9"/>
    <w:rsid w:val="00C31950"/>
    <w:rsid w:val="00C33388"/>
    <w:rsid w:val="00C35484"/>
    <w:rsid w:val="00C402B3"/>
    <w:rsid w:val="00C4173A"/>
    <w:rsid w:val="00C47870"/>
    <w:rsid w:val="00C520BC"/>
    <w:rsid w:val="00C602FF"/>
    <w:rsid w:val="00C61174"/>
    <w:rsid w:val="00C6148F"/>
    <w:rsid w:val="00C62F7A"/>
    <w:rsid w:val="00C63B9C"/>
    <w:rsid w:val="00C650D1"/>
    <w:rsid w:val="00C6682F"/>
    <w:rsid w:val="00C7275E"/>
    <w:rsid w:val="00C74C5D"/>
    <w:rsid w:val="00C863C4"/>
    <w:rsid w:val="00C920EA"/>
    <w:rsid w:val="00C93C3E"/>
    <w:rsid w:val="00C958FD"/>
    <w:rsid w:val="00CA12E3"/>
    <w:rsid w:val="00CA6611"/>
    <w:rsid w:val="00CA6AE6"/>
    <w:rsid w:val="00CA782F"/>
    <w:rsid w:val="00CB2681"/>
    <w:rsid w:val="00CB3285"/>
    <w:rsid w:val="00CC0C72"/>
    <w:rsid w:val="00CC2BFD"/>
    <w:rsid w:val="00CC2ED0"/>
    <w:rsid w:val="00CD225F"/>
    <w:rsid w:val="00CD3476"/>
    <w:rsid w:val="00CD5867"/>
    <w:rsid w:val="00CD64DF"/>
    <w:rsid w:val="00CE5609"/>
    <w:rsid w:val="00CF1515"/>
    <w:rsid w:val="00CF2F50"/>
    <w:rsid w:val="00CF6198"/>
    <w:rsid w:val="00D02919"/>
    <w:rsid w:val="00D04C61"/>
    <w:rsid w:val="00D05B8D"/>
    <w:rsid w:val="00D065A2"/>
    <w:rsid w:val="00D07F00"/>
    <w:rsid w:val="00D11EA9"/>
    <w:rsid w:val="00D17B72"/>
    <w:rsid w:val="00D3185C"/>
    <w:rsid w:val="00D3318E"/>
    <w:rsid w:val="00D33E72"/>
    <w:rsid w:val="00D35BD6"/>
    <w:rsid w:val="00D361B5"/>
    <w:rsid w:val="00D411A2"/>
    <w:rsid w:val="00D42EA6"/>
    <w:rsid w:val="00D4606D"/>
    <w:rsid w:val="00D50B9C"/>
    <w:rsid w:val="00D52D73"/>
    <w:rsid w:val="00D52E58"/>
    <w:rsid w:val="00D56B20"/>
    <w:rsid w:val="00D579CE"/>
    <w:rsid w:val="00D714CC"/>
    <w:rsid w:val="00D75EA7"/>
    <w:rsid w:val="00D81F21"/>
    <w:rsid w:val="00D95470"/>
    <w:rsid w:val="00DA2619"/>
    <w:rsid w:val="00DA4239"/>
    <w:rsid w:val="00DB0B61"/>
    <w:rsid w:val="00DB3026"/>
    <w:rsid w:val="00DB52FB"/>
    <w:rsid w:val="00DB5AEF"/>
    <w:rsid w:val="00DC090B"/>
    <w:rsid w:val="00DC1679"/>
    <w:rsid w:val="00DC2CF1"/>
    <w:rsid w:val="00DC4FCF"/>
    <w:rsid w:val="00DC50E0"/>
    <w:rsid w:val="00DC6386"/>
    <w:rsid w:val="00DD1130"/>
    <w:rsid w:val="00DD1951"/>
    <w:rsid w:val="00DD6628"/>
    <w:rsid w:val="00DD6945"/>
    <w:rsid w:val="00DE0A58"/>
    <w:rsid w:val="00DE3250"/>
    <w:rsid w:val="00DE3D41"/>
    <w:rsid w:val="00DE6028"/>
    <w:rsid w:val="00DE78A3"/>
    <w:rsid w:val="00DF1A71"/>
    <w:rsid w:val="00DF3993"/>
    <w:rsid w:val="00DF4D73"/>
    <w:rsid w:val="00DF68C7"/>
    <w:rsid w:val="00DF731A"/>
    <w:rsid w:val="00E11332"/>
    <w:rsid w:val="00E11352"/>
    <w:rsid w:val="00E170DC"/>
    <w:rsid w:val="00E22FF4"/>
    <w:rsid w:val="00E26818"/>
    <w:rsid w:val="00E27FFC"/>
    <w:rsid w:val="00E30B15"/>
    <w:rsid w:val="00E31B78"/>
    <w:rsid w:val="00E40181"/>
    <w:rsid w:val="00E4781B"/>
    <w:rsid w:val="00E5494C"/>
    <w:rsid w:val="00E56A01"/>
    <w:rsid w:val="00E629A1"/>
    <w:rsid w:val="00E654F7"/>
    <w:rsid w:val="00E6794C"/>
    <w:rsid w:val="00E71591"/>
    <w:rsid w:val="00E80DE3"/>
    <w:rsid w:val="00E82C55"/>
    <w:rsid w:val="00E92AC3"/>
    <w:rsid w:val="00EB00E0"/>
    <w:rsid w:val="00EB797E"/>
    <w:rsid w:val="00EB7D96"/>
    <w:rsid w:val="00EC059F"/>
    <w:rsid w:val="00EC1F24"/>
    <w:rsid w:val="00EC22F6"/>
    <w:rsid w:val="00EC3F37"/>
    <w:rsid w:val="00ED4CCA"/>
    <w:rsid w:val="00ED5B9B"/>
    <w:rsid w:val="00ED6BAD"/>
    <w:rsid w:val="00ED7447"/>
    <w:rsid w:val="00EE13DA"/>
    <w:rsid w:val="00EE1488"/>
    <w:rsid w:val="00EE36ED"/>
    <w:rsid w:val="00EE3E24"/>
    <w:rsid w:val="00EE4240"/>
    <w:rsid w:val="00EE4D5D"/>
    <w:rsid w:val="00EE5131"/>
    <w:rsid w:val="00EE7217"/>
    <w:rsid w:val="00EF109B"/>
    <w:rsid w:val="00EF36AF"/>
    <w:rsid w:val="00EF675B"/>
    <w:rsid w:val="00F00F9C"/>
    <w:rsid w:val="00F01E5F"/>
    <w:rsid w:val="00F02ABA"/>
    <w:rsid w:val="00F03E56"/>
    <w:rsid w:val="00F0437A"/>
    <w:rsid w:val="00F11037"/>
    <w:rsid w:val="00F16F1B"/>
    <w:rsid w:val="00F22586"/>
    <w:rsid w:val="00F250A9"/>
    <w:rsid w:val="00F26155"/>
    <w:rsid w:val="00F30FF4"/>
    <w:rsid w:val="00F3122E"/>
    <w:rsid w:val="00F32582"/>
    <w:rsid w:val="00F331AD"/>
    <w:rsid w:val="00F35287"/>
    <w:rsid w:val="00F43A37"/>
    <w:rsid w:val="00F43DAC"/>
    <w:rsid w:val="00F4641B"/>
    <w:rsid w:val="00F46747"/>
    <w:rsid w:val="00F46EB8"/>
    <w:rsid w:val="00F50CD1"/>
    <w:rsid w:val="00F511E4"/>
    <w:rsid w:val="00F520B9"/>
    <w:rsid w:val="00F52D09"/>
    <w:rsid w:val="00F52E08"/>
    <w:rsid w:val="00F55B21"/>
    <w:rsid w:val="00F56EF6"/>
    <w:rsid w:val="00F61A9F"/>
    <w:rsid w:val="00F64696"/>
    <w:rsid w:val="00F65AA9"/>
    <w:rsid w:val="00F6768F"/>
    <w:rsid w:val="00F72C2C"/>
    <w:rsid w:val="00F76CAB"/>
    <w:rsid w:val="00F76FEE"/>
    <w:rsid w:val="00F7704C"/>
    <w:rsid w:val="00F772C6"/>
    <w:rsid w:val="00F815B5"/>
    <w:rsid w:val="00F85195"/>
    <w:rsid w:val="00F938BA"/>
    <w:rsid w:val="00FA2C46"/>
    <w:rsid w:val="00FA3525"/>
    <w:rsid w:val="00FA5A53"/>
    <w:rsid w:val="00FA5CE8"/>
    <w:rsid w:val="00FB4769"/>
    <w:rsid w:val="00FB4CDA"/>
    <w:rsid w:val="00FC0F81"/>
    <w:rsid w:val="00FC395C"/>
    <w:rsid w:val="00FD3766"/>
    <w:rsid w:val="00FD47C4"/>
    <w:rsid w:val="00FE02F4"/>
    <w:rsid w:val="00FE2DCF"/>
    <w:rsid w:val="00FE3FA7"/>
    <w:rsid w:val="00FF2FCE"/>
    <w:rsid w:val="00FF4F7D"/>
    <w:rsid w:val="00FF6D9D"/>
    <w:rsid w:val="0847A424"/>
    <w:rsid w:val="13B6255D"/>
    <w:rsid w:val="4252E20C"/>
    <w:rsid w:val="4D11F94E"/>
    <w:rsid w:val="5718FDB6"/>
    <w:rsid w:val="5ECC7277"/>
    <w:rsid w:val="6489F9B9"/>
    <w:rsid w:val="64F58E1C"/>
    <w:rsid w:val="6D71FCFA"/>
    <w:rsid w:val="6FA59C11"/>
    <w:rsid w:val="70640F55"/>
    <w:rsid w:val="7CC8B1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15A48A"/>
  <w15:docId w15:val="{A666EC01-2CCB-4403-B4C9-A3F1FBF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5212D9"/>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5212D9"/>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212D9"/>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5212D9"/>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212D9"/>
    <w:pPr>
      <w:spacing w:before="0" w:after="200"/>
      <w:outlineLvl w:val="9"/>
    </w:pPr>
  </w:style>
  <w:style w:type="character" w:customStyle="1" w:styleId="DHHSTOCheadingfactsheetChar">
    <w:name w:val="DHHS TOC heading fact sheet Char"/>
    <w:link w:val="DHHSTOCheadingfactsheet"/>
    <w:uiPriority w:val="4"/>
    <w:rsid w:val="005212D9"/>
    <w:rPr>
      <w:rFonts w:ascii="Arial" w:hAnsi="Arial"/>
      <w:b/>
      <w:color w:val="004C9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8"/>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DHHStablecolhead">
    <w:name w:val="DHHS table col head"/>
    <w:uiPriority w:val="3"/>
    <w:qFormat/>
    <w:rsid w:val="005212D9"/>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8E7B49"/>
    <w:pPr>
      <w:numPr>
        <w:ilvl w:val="2"/>
        <w:numId w:val="4"/>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8E7B49"/>
    <w:pPr>
      <w:numPr>
        <w:numId w:val="3"/>
      </w:numPr>
    </w:pPr>
  </w:style>
  <w:style w:type="numbering" w:customStyle="1" w:styleId="ZZQuotebullets">
    <w:name w:val="ZZ Quote bullets"/>
    <w:basedOn w:val="ZZNumbersdigit"/>
    <w:rsid w:val="008E7B49"/>
    <w:pPr>
      <w:numPr>
        <w:numId w:val="12"/>
      </w:numPr>
    </w:pPr>
  </w:style>
  <w:style w:type="paragraph" w:customStyle="1" w:styleId="DHHSnumberdigit">
    <w:name w:val="DHHS number digit"/>
    <w:basedOn w:val="DHHSbody"/>
    <w:uiPriority w:val="2"/>
    <w:rsid w:val="00857C5A"/>
    <w:pPr>
      <w:numPr>
        <w:numId w:val="9"/>
      </w:numPr>
    </w:pPr>
  </w:style>
  <w:style w:type="paragraph" w:customStyle="1" w:styleId="DHHSnumberloweralphaindent">
    <w:name w:val="DHHS number lower alpha indent"/>
    <w:basedOn w:val="DHHSbody"/>
    <w:uiPriority w:val="3"/>
    <w:rsid w:val="00721CFB"/>
    <w:pPr>
      <w:numPr>
        <w:ilvl w:val="1"/>
        <w:numId w:val="23"/>
      </w:numPr>
    </w:pPr>
  </w:style>
  <w:style w:type="paragraph" w:customStyle="1" w:styleId="DHHSnumberdigitindent">
    <w:name w:val="DHHS number digit indent"/>
    <w:basedOn w:val="DHHSnumberloweralphaindent"/>
    <w:uiPriority w:val="3"/>
    <w:rsid w:val="008E7B49"/>
    <w:pPr>
      <w:numPr>
        <w:numId w:val="4"/>
      </w:numPr>
    </w:pPr>
  </w:style>
  <w:style w:type="paragraph" w:customStyle="1" w:styleId="DHHSnumberloweralpha">
    <w:name w:val="DHHS number lower alpha"/>
    <w:basedOn w:val="DHHSbody"/>
    <w:uiPriority w:val="3"/>
    <w:rsid w:val="00721CFB"/>
    <w:pPr>
      <w:numPr>
        <w:numId w:val="23"/>
      </w:numPr>
    </w:pPr>
  </w:style>
  <w:style w:type="paragraph" w:customStyle="1" w:styleId="DHHSnumberlowerroman">
    <w:name w:val="DHHS number lower roman"/>
    <w:basedOn w:val="DHHSbody"/>
    <w:uiPriority w:val="3"/>
    <w:rsid w:val="00721CFB"/>
    <w:pPr>
      <w:numPr>
        <w:numId w:val="14"/>
      </w:numPr>
    </w:pPr>
  </w:style>
  <w:style w:type="paragraph" w:customStyle="1" w:styleId="DHHSnumberlowerromanindent">
    <w:name w:val="DHHS number lower roman indent"/>
    <w:basedOn w:val="DHHSbody"/>
    <w:uiPriority w:val="3"/>
    <w:rsid w:val="00721CFB"/>
    <w:pPr>
      <w:numPr>
        <w:ilvl w:val="1"/>
        <w:numId w:val="1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4"/>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DHHSquotebullet1">
    <w:name w:val="DHHS quote bullet 1"/>
    <w:basedOn w:val="DHHSquote"/>
    <w:rsid w:val="008E7B49"/>
    <w:pPr>
      <w:numPr>
        <w:numId w:val="12"/>
      </w:numPr>
    </w:pPr>
  </w:style>
  <w:style w:type="paragraph" w:customStyle="1" w:styleId="DHHSquotebullet2">
    <w:name w:val="DHHS quote bullet 2"/>
    <w:basedOn w:val="DHHSquote"/>
    <w:rsid w:val="008E7B49"/>
    <w:pPr>
      <w:numPr>
        <w:ilvl w:val="1"/>
        <w:numId w:val="12"/>
      </w:numPr>
    </w:pPr>
  </w:style>
  <w:style w:type="paragraph" w:styleId="CommentText">
    <w:name w:val="annotation text"/>
    <w:basedOn w:val="Normal"/>
    <w:link w:val="CommentTextChar"/>
    <w:uiPriority w:val="99"/>
    <w:semiHidden/>
    <w:unhideWhenUsed/>
    <w:rsid w:val="006A780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A7802"/>
    <w:rPr>
      <w:rFonts w:asciiTheme="minorHAnsi" w:eastAsiaTheme="minorHAnsi" w:hAnsiTheme="minorHAnsi" w:cstheme="minorBidi"/>
      <w:lang w:eastAsia="en-US"/>
    </w:rPr>
  </w:style>
  <w:style w:type="character" w:styleId="CommentReference">
    <w:name w:val="annotation reference"/>
    <w:basedOn w:val="DefaultParagraphFont"/>
    <w:unhideWhenUsed/>
    <w:rsid w:val="006A7802"/>
    <w:rPr>
      <w:sz w:val="16"/>
      <w:szCs w:val="16"/>
    </w:rPr>
  </w:style>
  <w:style w:type="paragraph" w:styleId="ListParagraph">
    <w:name w:val="List Paragraph"/>
    <w:basedOn w:val="Normal"/>
    <w:uiPriority w:val="34"/>
    <w:qFormat/>
    <w:rsid w:val="006A7802"/>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6A7802"/>
    <w:pPr>
      <w:spacing w:after="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6A7802"/>
    <w:rPr>
      <w:rFonts w:ascii="Cambria" w:eastAsiaTheme="minorHAnsi" w:hAnsi="Cambria" w:cstheme="minorBidi"/>
      <w:b/>
      <w:bCs/>
      <w:lang w:eastAsia="en-US"/>
    </w:rPr>
  </w:style>
  <w:style w:type="paragraph" w:styleId="IntenseQuote">
    <w:name w:val="Intense Quote"/>
    <w:basedOn w:val="Normal"/>
    <w:next w:val="Normal"/>
    <w:link w:val="IntenseQuoteChar"/>
    <w:uiPriority w:val="60"/>
    <w:qFormat/>
    <w:rsid w:val="006A780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6A7802"/>
    <w:rPr>
      <w:rFonts w:ascii="Cambria" w:hAnsi="Cambria"/>
      <w:i/>
      <w:iCs/>
      <w:color w:val="4F81BD" w:themeColor="accent1"/>
      <w:lang w:eastAsia="en-US"/>
    </w:rPr>
  </w:style>
  <w:style w:type="character" w:styleId="UnresolvedMention">
    <w:name w:val="Unresolved Mention"/>
    <w:basedOn w:val="DefaultParagraphFont"/>
    <w:uiPriority w:val="99"/>
    <w:semiHidden/>
    <w:unhideWhenUsed/>
    <w:rsid w:val="00D11EA9"/>
    <w:rPr>
      <w:color w:val="605E5C"/>
      <w:shd w:val="clear" w:color="auto" w:fill="E1DFDD"/>
    </w:rPr>
  </w:style>
  <w:style w:type="paragraph" w:customStyle="1" w:styleId="paragraph">
    <w:name w:val="paragraph"/>
    <w:basedOn w:val="Normal"/>
    <w:rsid w:val="00FE02F4"/>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FE02F4"/>
  </w:style>
  <w:style w:type="character" w:customStyle="1" w:styleId="eop">
    <w:name w:val="eop"/>
    <w:basedOn w:val="DefaultParagraphFont"/>
    <w:rsid w:val="00FE02F4"/>
  </w:style>
  <w:style w:type="character" w:customStyle="1" w:styleId="DHHSbodyChar">
    <w:name w:val="DHHS body Char"/>
    <w:link w:val="DHHSbody"/>
    <w:rsid w:val="00FE02F4"/>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0595">
      <w:bodyDiv w:val="1"/>
      <w:marLeft w:val="0"/>
      <w:marRight w:val="0"/>
      <w:marTop w:val="0"/>
      <w:marBottom w:val="0"/>
      <w:divBdr>
        <w:top w:val="none" w:sz="0" w:space="0" w:color="auto"/>
        <w:left w:val="none" w:sz="0" w:space="0" w:color="auto"/>
        <w:bottom w:val="none" w:sz="0" w:space="0" w:color="auto"/>
        <w:right w:val="none" w:sz="0" w:space="0" w:color="auto"/>
      </w:divBdr>
    </w:div>
    <w:div w:id="290785838">
      <w:bodyDiv w:val="1"/>
      <w:marLeft w:val="0"/>
      <w:marRight w:val="0"/>
      <w:marTop w:val="0"/>
      <w:marBottom w:val="0"/>
      <w:divBdr>
        <w:top w:val="none" w:sz="0" w:space="0" w:color="auto"/>
        <w:left w:val="none" w:sz="0" w:space="0" w:color="auto"/>
        <w:bottom w:val="none" w:sz="0" w:space="0" w:color="auto"/>
        <w:right w:val="none" w:sz="0" w:space="0" w:color="auto"/>
      </w:divBdr>
      <w:divsChild>
        <w:div w:id="187644306">
          <w:marLeft w:val="0"/>
          <w:marRight w:val="0"/>
          <w:marTop w:val="0"/>
          <w:marBottom w:val="0"/>
          <w:divBdr>
            <w:top w:val="none" w:sz="0" w:space="0" w:color="auto"/>
            <w:left w:val="none" w:sz="0" w:space="0" w:color="auto"/>
            <w:bottom w:val="none" w:sz="0" w:space="0" w:color="auto"/>
            <w:right w:val="none" w:sz="0" w:space="0" w:color="auto"/>
          </w:divBdr>
        </w:div>
        <w:div w:id="562064806">
          <w:marLeft w:val="0"/>
          <w:marRight w:val="0"/>
          <w:marTop w:val="0"/>
          <w:marBottom w:val="0"/>
          <w:divBdr>
            <w:top w:val="none" w:sz="0" w:space="0" w:color="auto"/>
            <w:left w:val="none" w:sz="0" w:space="0" w:color="auto"/>
            <w:bottom w:val="none" w:sz="0" w:space="0" w:color="auto"/>
            <w:right w:val="none" w:sz="0" w:space="0" w:color="auto"/>
          </w:divBdr>
        </w:div>
        <w:div w:id="998263806">
          <w:marLeft w:val="0"/>
          <w:marRight w:val="0"/>
          <w:marTop w:val="0"/>
          <w:marBottom w:val="0"/>
          <w:divBdr>
            <w:top w:val="none" w:sz="0" w:space="0" w:color="auto"/>
            <w:left w:val="none" w:sz="0" w:space="0" w:color="auto"/>
            <w:bottom w:val="none" w:sz="0" w:space="0" w:color="auto"/>
            <w:right w:val="none" w:sz="0" w:space="0" w:color="auto"/>
          </w:divBdr>
        </w:div>
        <w:div w:id="1099570032">
          <w:marLeft w:val="0"/>
          <w:marRight w:val="0"/>
          <w:marTop w:val="0"/>
          <w:marBottom w:val="0"/>
          <w:divBdr>
            <w:top w:val="none" w:sz="0" w:space="0" w:color="auto"/>
            <w:left w:val="none" w:sz="0" w:space="0" w:color="auto"/>
            <w:bottom w:val="none" w:sz="0" w:space="0" w:color="auto"/>
            <w:right w:val="none" w:sz="0" w:space="0" w:color="auto"/>
          </w:divBdr>
        </w:div>
        <w:div w:id="1894271572">
          <w:marLeft w:val="0"/>
          <w:marRight w:val="0"/>
          <w:marTop w:val="0"/>
          <w:marBottom w:val="0"/>
          <w:divBdr>
            <w:top w:val="none" w:sz="0" w:space="0" w:color="auto"/>
            <w:left w:val="none" w:sz="0" w:space="0" w:color="auto"/>
            <w:bottom w:val="none" w:sz="0" w:space="0" w:color="auto"/>
            <w:right w:val="none" w:sz="0" w:space="0" w:color="auto"/>
          </w:divBdr>
        </w:div>
      </w:divsChild>
    </w:div>
    <w:div w:id="519322959">
      <w:bodyDiv w:val="1"/>
      <w:marLeft w:val="0"/>
      <w:marRight w:val="0"/>
      <w:marTop w:val="0"/>
      <w:marBottom w:val="0"/>
      <w:divBdr>
        <w:top w:val="none" w:sz="0" w:space="0" w:color="auto"/>
        <w:left w:val="none" w:sz="0" w:space="0" w:color="auto"/>
        <w:bottom w:val="none" w:sz="0" w:space="0" w:color="auto"/>
        <w:right w:val="none" w:sz="0" w:space="0" w:color="auto"/>
      </w:divBdr>
    </w:div>
    <w:div w:id="608707648">
      <w:bodyDiv w:val="1"/>
      <w:marLeft w:val="0"/>
      <w:marRight w:val="0"/>
      <w:marTop w:val="0"/>
      <w:marBottom w:val="0"/>
      <w:divBdr>
        <w:top w:val="none" w:sz="0" w:space="0" w:color="auto"/>
        <w:left w:val="none" w:sz="0" w:space="0" w:color="auto"/>
        <w:bottom w:val="none" w:sz="0" w:space="0" w:color="auto"/>
        <w:right w:val="none" w:sz="0" w:space="0" w:color="auto"/>
      </w:divBdr>
      <w:divsChild>
        <w:div w:id="630861679">
          <w:marLeft w:val="0"/>
          <w:marRight w:val="0"/>
          <w:marTop w:val="0"/>
          <w:marBottom w:val="0"/>
          <w:divBdr>
            <w:top w:val="none" w:sz="0" w:space="0" w:color="auto"/>
            <w:left w:val="none" w:sz="0" w:space="0" w:color="auto"/>
            <w:bottom w:val="none" w:sz="0" w:space="0" w:color="auto"/>
            <w:right w:val="none" w:sz="0" w:space="0" w:color="auto"/>
          </w:divBdr>
        </w:div>
        <w:div w:id="1505323480">
          <w:marLeft w:val="0"/>
          <w:marRight w:val="0"/>
          <w:marTop w:val="0"/>
          <w:marBottom w:val="0"/>
          <w:divBdr>
            <w:top w:val="none" w:sz="0" w:space="0" w:color="auto"/>
            <w:left w:val="none" w:sz="0" w:space="0" w:color="auto"/>
            <w:bottom w:val="none" w:sz="0" w:space="0" w:color="auto"/>
            <w:right w:val="none" w:sz="0" w:space="0" w:color="auto"/>
          </w:divBdr>
        </w:div>
        <w:div w:id="1982147571">
          <w:marLeft w:val="0"/>
          <w:marRight w:val="0"/>
          <w:marTop w:val="0"/>
          <w:marBottom w:val="0"/>
          <w:divBdr>
            <w:top w:val="none" w:sz="0" w:space="0" w:color="auto"/>
            <w:left w:val="none" w:sz="0" w:space="0" w:color="auto"/>
            <w:bottom w:val="none" w:sz="0" w:space="0" w:color="auto"/>
            <w:right w:val="none" w:sz="0" w:space="0" w:color="auto"/>
          </w:divBdr>
        </w:div>
        <w:div w:id="2132359195">
          <w:marLeft w:val="0"/>
          <w:marRight w:val="0"/>
          <w:marTop w:val="0"/>
          <w:marBottom w:val="0"/>
          <w:divBdr>
            <w:top w:val="none" w:sz="0" w:space="0" w:color="auto"/>
            <w:left w:val="none" w:sz="0" w:space="0" w:color="auto"/>
            <w:bottom w:val="none" w:sz="0" w:space="0" w:color="auto"/>
            <w:right w:val="none" w:sz="0" w:space="0" w:color="auto"/>
          </w:divBdr>
        </w:div>
      </w:divsChild>
    </w:div>
    <w:div w:id="689454496">
      <w:bodyDiv w:val="1"/>
      <w:marLeft w:val="0"/>
      <w:marRight w:val="0"/>
      <w:marTop w:val="0"/>
      <w:marBottom w:val="0"/>
      <w:divBdr>
        <w:top w:val="none" w:sz="0" w:space="0" w:color="auto"/>
        <w:left w:val="none" w:sz="0" w:space="0" w:color="auto"/>
        <w:bottom w:val="none" w:sz="0" w:space="0" w:color="auto"/>
        <w:right w:val="none" w:sz="0" w:space="0" w:color="auto"/>
      </w:divBdr>
      <w:divsChild>
        <w:div w:id="876816424">
          <w:marLeft w:val="0"/>
          <w:marRight w:val="0"/>
          <w:marTop w:val="0"/>
          <w:marBottom w:val="0"/>
          <w:divBdr>
            <w:top w:val="none" w:sz="0" w:space="0" w:color="auto"/>
            <w:left w:val="none" w:sz="0" w:space="0" w:color="auto"/>
            <w:bottom w:val="none" w:sz="0" w:space="0" w:color="auto"/>
            <w:right w:val="none" w:sz="0" w:space="0" w:color="auto"/>
          </w:divBdr>
        </w:div>
        <w:div w:id="1193693599">
          <w:marLeft w:val="0"/>
          <w:marRight w:val="0"/>
          <w:marTop w:val="0"/>
          <w:marBottom w:val="0"/>
          <w:divBdr>
            <w:top w:val="none" w:sz="0" w:space="0" w:color="auto"/>
            <w:left w:val="none" w:sz="0" w:space="0" w:color="auto"/>
            <w:bottom w:val="none" w:sz="0" w:space="0" w:color="auto"/>
            <w:right w:val="none" w:sz="0" w:space="0" w:color="auto"/>
          </w:divBdr>
        </w:div>
        <w:div w:id="1517618857">
          <w:marLeft w:val="0"/>
          <w:marRight w:val="0"/>
          <w:marTop w:val="0"/>
          <w:marBottom w:val="0"/>
          <w:divBdr>
            <w:top w:val="none" w:sz="0" w:space="0" w:color="auto"/>
            <w:left w:val="none" w:sz="0" w:space="0" w:color="auto"/>
            <w:bottom w:val="none" w:sz="0" w:space="0" w:color="auto"/>
            <w:right w:val="none" w:sz="0" w:space="0" w:color="auto"/>
          </w:divBdr>
        </w:div>
        <w:div w:id="2028747504">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36806739">
      <w:bodyDiv w:val="1"/>
      <w:marLeft w:val="0"/>
      <w:marRight w:val="0"/>
      <w:marTop w:val="0"/>
      <w:marBottom w:val="0"/>
      <w:divBdr>
        <w:top w:val="none" w:sz="0" w:space="0" w:color="auto"/>
        <w:left w:val="none" w:sz="0" w:space="0" w:color="auto"/>
        <w:bottom w:val="none" w:sz="0" w:space="0" w:color="auto"/>
        <w:right w:val="none" w:sz="0" w:space="0" w:color="auto"/>
      </w:divBdr>
    </w:div>
    <w:div w:id="12233254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18015563">
      <w:bodyDiv w:val="1"/>
      <w:marLeft w:val="0"/>
      <w:marRight w:val="0"/>
      <w:marTop w:val="0"/>
      <w:marBottom w:val="0"/>
      <w:divBdr>
        <w:top w:val="none" w:sz="0" w:space="0" w:color="auto"/>
        <w:left w:val="none" w:sz="0" w:space="0" w:color="auto"/>
        <w:bottom w:val="none" w:sz="0" w:space="0" w:color="auto"/>
        <w:right w:val="none" w:sz="0" w:space="0" w:color="auto"/>
      </w:divBdr>
      <w:divsChild>
        <w:div w:id="25643956">
          <w:marLeft w:val="0"/>
          <w:marRight w:val="0"/>
          <w:marTop w:val="0"/>
          <w:marBottom w:val="0"/>
          <w:divBdr>
            <w:top w:val="none" w:sz="0" w:space="0" w:color="auto"/>
            <w:left w:val="none" w:sz="0" w:space="0" w:color="auto"/>
            <w:bottom w:val="none" w:sz="0" w:space="0" w:color="auto"/>
            <w:right w:val="none" w:sz="0" w:space="0" w:color="auto"/>
          </w:divBdr>
        </w:div>
        <w:div w:id="1280989390">
          <w:marLeft w:val="0"/>
          <w:marRight w:val="0"/>
          <w:marTop w:val="0"/>
          <w:marBottom w:val="0"/>
          <w:divBdr>
            <w:top w:val="none" w:sz="0" w:space="0" w:color="auto"/>
            <w:left w:val="none" w:sz="0" w:space="0" w:color="auto"/>
            <w:bottom w:val="none" w:sz="0" w:space="0" w:color="auto"/>
            <w:right w:val="none" w:sz="0" w:space="0" w:color="auto"/>
          </w:divBdr>
        </w:div>
        <w:div w:id="1561789046">
          <w:marLeft w:val="0"/>
          <w:marRight w:val="0"/>
          <w:marTop w:val="0"/>
          <w:marBottom w:val="0"/>
          <w:divBdr>
            <w:top w:val="none" w:sz="0" w:space="0" w:color="auto"/>
            <w:left w:val="none" w:sz="0" w:space="0" w:color="auto"/>
            <w:bottom w:val="none" w:sz="0" w:space="0" w:color="auto"/>
            <w:right w:val="none" w:sz="0" w:space="0" w:color="auto"/>
          </w:divBdr>
        </w:div>
        <w:div w:id="1718697467">
          <w:marLeft w:val="0"/>
          <w:marRight w:val="0"/>
          <w:marTop w:val="0"/>
          <w:marBottom w:val="0"/>
          <w:divBdr>
            <w:top w:val="none" w:sz="0" w:space="0" w:color="auto"/>
            <w:left w:val="none" w:sz="0" w:space="0" w:color="auto"/>
            <w:bottom w:val="none" w:sz="0" w:space="0" w:color="auto"/>
            <w:right w:val="none" w:sz="0" w:space="0" w:color="auto"/>
          </w:divBdr>
        </w:div>
        <w:div w:id="184825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ancercouncil.com.au/wp-content/uploads/2020/05/CCNSW-Consumer-Review-Guidelines-2020.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victoriancanceragency.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mrc.gov.au/about-us/consumer-and-community-engag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iatsis-guide-code-ethics-jan22.pdf" TargetMode="External"/><Relationship Id="rId20" Type="http://schemas.openxmlformats.org/officeDocument/2006/relationships/hyperlink" Target="https://www.canceraustralia.gov.au/about-us/who-we-work/consumer-eng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ctoriancanceragency.vic.gov.au" TargetMode="External"/><Relationship Id="rId5" Type="http://schemas.openxmlformats.org/officeDocument/2006/relationships/numbering" Target="numbering.xml"/><Relationship Id="rId15" Type="http://schemas.openxmlformats.org/officeDocument/2006/relationships/hyperlink" Target="aiatsis-code-ethics-jan22.pdf" TargetMode="External"/><Relationship Id="rId23" Type="http://schemas.openxmlformats.org/officeDocument/2006/relationships/hyperlink" Target="mailto:%20victorian.canceragency@dhhs.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iprogra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research-policy/ethics/ethical-guidelines-research-aboriginal-and-torres-strait-islander-peoples" TargetMode="External"/><Relationship Id="rId22" Type="http://schemas.openxmlformats.org/officeDocument/2006/relationships/hyperlink" Target="https://www.viccompcancerctr.org/about-vccc/consumer-engagement/toolki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ancer.nsw.gov.au/getmedia/3109d65f-6135-4df5-82a5-59fc4408159b/Consumer-Community-Engagement-Framework.pdf" TargetMode="External"/><Relationship Id="rId2" Type="http://schemas.openxmlformats.org/officeDocument/2006/relationships/hyperlink" Target="https://canceraustralia.gov.au/about-us/who-we-work/consumer-engagement" TargetMode="External"/><Relationship Id="rId1" Type="http://schemas.openxmlformats.org/officeDocument/2006/relationships/hyperlink" Target="https://sahmri.blob.core.windows.net/communications/sahmri.org/SAHMRI_CCE_Position_Statement_February_2021_final1.pdf" TargetMode="External"/><Relationship Id="rId4" Type="http://schemas.openxmlformats.org/officeDocument/2006/relationships/hyperlink" Target="https://www.vaccho.org.au/research-resources/va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9" ma:contentTypeDescription="Create a new document." ma:contentTypeScope="" ma:versionID="fdaf13461fbc51352c7de19178832dc6">
  <xsd:schema xmlns:xsd="http://www.w3.org/2001/XMLSchema" xmlns:xs="http://www.w3.org/2001/XMLSchema" xmlns:p="http://schemas.microsoft.com/office/2006/metadata/properties" xmlns:ns2="d57d50af-0511-4abc-8473-7b8c08a937c3" xmlns:ns3="819afca8-9d5b-4e5f-a02d-e8160e861dbb" targetNamespace="http://schemas.microsoft.com/office/2006/metadata/properties" ma:root="true" ma:fieldsID="8b3e4466820b7805747ece6020aa5cf8" ns2:_="" ns3:_="">
    <xsd:import namespace="d57d50af-0511-4abc-8473-7b8c08a937c3"/>
    <xsd:import namespace="819afca8-9d5b-4e5f-a02d-e8160e861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3094EE-30A2-47E6-96D0-2F4571D4D7D6}">
  <ds:schemaRefs>
    <ds:schemaRef ds:uri="http://schemas.openxmlformats.org/officeDocument/2006/bibliography"/>
  </ds:schemaRefs>
</ds:datastoreItem>
</file>

<file path=customXml/itemProps2.xml><?xml version="1.0" encoding="utf-8"?>
<ds:datastoreItem xmlns:ds="http://schemas.openxmlformats.org/officeDocument/2006/customXml" ds:itemID="{5F0B8E83-D591-4003-8FA0-06DC875A7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C6545-4C27-41C5-80DE-E146D1197EFE}">
  <ds:schemaRefs>
    <ds:schemaRef ds:uri="http://schemas.microsoft.com/sharepoint/v3/contenttype/forms"/>
  </ds:schemaRefs>
</ds:datastoreItem>
</file>

<file path=customXml/itemProps4.xml><?xml version="1.0" encoding="utf-8"?>
<ds:datastoreItem xmlns:ds="http://schemas.openxmlformats.org/officeDocument/2006/customXml" ds:itemID="{A216FA0E-AD39-4AE3-83D3-BDF0BCA5FE08}">
  <ds:schemaRefs>
    <ds:schemaRef ds:uri="http://schemas.microsoft.com/office/2006/documentManagement/types"/>
    <ds:schemaRef ds:uri="http://schemas.microsoft.com/office/2006/metadata/properties"/>
    <ds:schemaRef ds:uri="819afca8-9d5b-4e5f-a02d-e8160e861dbb"/>
    <ds:schemaRef ds:uri="http://purl.org/dc/terms/"/>
    <ds:schemaRef ds:uri="http://schemas.openxmlformats.org/package/2006/metadata/core-properties"/>
    <ds:schemaRef ds:uri="http://purl.org/dc/dcmitype/"/>
    <ds:schemaRef ds:uri="http://schemas.microsoft.com/office/infopath/2007/PartnerControls"/>
    <ds:schemaRef ds:uri="d57d50af-0511-4abc-8473-7b8c08a937c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2076</Words>
  <Characters>11838</Characters>
  <Application>Microsoft Office Word</Application>
  <DocSecurity>0</DocSecurity>
  <Lines>98</Lines>
  <Paragraphs>27</Paragraphs>
  <ScaleCrop>false</ScaleCrop>
  <Company>Victoria State Government</Company>
  <LinksUpToDate>false</LinksUpToDate>
  <CharactersWithSpaces>13887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Swiatek (DHHS)</dc:creator>
  <cp:keywords/>
  <cp:lastModifiedBy>Sophie Broughton (Health)</cp:lastModifiedBy>
  <cp:revision>59</cp:revision>
  <cp:lastPrinted>2017-07-07T17:32:00Z</cp:lastPrinted>
  <dcterms:created xsi:type="dcterms:W3CDTF">2022-05-12T17:15:00Z</dcterms:created>
  <dcterms:modified xsi:type="dcterms:W3CDTF">2022-05-17T02:46:00Z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2022-05-12T00:14:58Z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a5396b16-84be-4ca4-9c34-163f80593f24</vt:lpwstr>
  </property>
  <property fmtid="{D5CDD505-2E9C-101B-9397-08002B2CF9AE}" pid="9" name="MSIP_Label_43e64453-338c-4f93-8a4d-0039a0a41f2a_ContentBits">
    <vt:lpwstr>2</vt:lpwstr>
  </property>
  <property fmtid="{D5CDD505-2E9C-101B-9397-08002B2CF9AE}" pid="10" name="ContentTypeId">
    <vt:lpwstr>0x010100F52CBD3403E816419C87646E3C6EEB81</vt:lpwstr>
  </property>
</Properties>
</file>