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8915" w14:textId="77777777" w:rsidR="00002990" w:rsidRPr="003072C6" w:rsidRDefault="00417CC6" w:rsidP="00A55989">
      <w:pPr>
        <w:pStyle w:val="DHHSbodynospace"/>
      </w:pPr>
      <w:r>
        <w:rPr>
          <w:noProof/>
          <w:color w:val="2B579A"/>
          <w:shd w:val="clear" w:color="auto" w:fill="E6E6E6"/>
          <w:lang w:eastAsia="en-AU"/>
        </w:rPr>
        <w:drawing>
          <wp:anchor distT="0" distB="0" distL="114300" distR="114300" simplePos="0" relativeHeight="251658240" behindDoc="1" locked="1" layoutInCell="0" allowOverlap="1" wp14:anchorId="10D29901" wp14:editId="0EDCE24B">
            <wp:simplePos x="0" y="0"/>
            <wp:positionH relativeFrom="page">
              <wp:align>left</wp:align>
            </wp:positionH>
            <wp:positionV relativeFrom="page">
              <wp:posOffset>-609600</wp:posOffset>
            </wp:positionV>
            <wp:extent cx="7562850" cy="10697210"/>
            <wp:effectExtent l="0" t="0" r="0" b="8890"/>
            <wp:wrapNone/>
            <wp:docPr id="100" name="Picture 100" descr="Victorian Cancer Agency -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2850"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600" w:firstRow="0" w:lastRow="0" w:firstColumn="0" w:lastColumn="0" w:noHBand="1" w:noVBand="1"/>
      </w:tblPr>
      <w:tblGrid>
        <w:gridCol w:w="7371"/>
      </w:tblGrid>
      <w:tr w:rsidR="001817CD" w:rsidRPr="003072C6" w14:paraId="26862CFD" w14:textId="77777777" w:rsidTr="00141A3F">
        <w:trPr>
          <w:trHeight w:val="3988"/>
        </w:trPr>
        <w:tc>
          <w:tcPr>
            <w:tcW w:w="7371" w:type="dxa"/>
            <w:shd w:val="clear" w:color="auto" w:fill="auto"/>
          </w:tcPr>
          <w:p w14:paraId="5C0FAD3D" w14:textId="77A15CAF" w:rsidR="00C416E1" w:rsidRDefault="00003734" w:rsidP="00E91933">
            <w:pPr>
              <w:pStyle w:val="DHHSreportmaintitlewhite"/>
            </w:pPr>
            <w:r>
              <w:t>Victorian Cancer Agency Funding Rules</w:t>
            </w:r>
          </w:p>
          <w:p w14:paraId="64F03FAB" w14:textId="0481CC21" w:rsidR="007C3F66" w:rsidRPr="00991739" w:rsidRDefault="007C3F66" w:rsidP="00E91933">
            <w:pPr>
              <w:pStyle w:val="DHHSreportmaintitlewhite"/>
              <w:rPr>
                <w:sz w:val="24"/>
                <w:szCs w:val="24"/>
              </w:rPr>
            </w:pPr>
            <w:r w:rsidRPr="00991739">
              <w:rPr>
                <w:sz w:val="24"/>
                <w:szCs w:val="24"/>
              </w:rPr>
              <w:t xml:space="preserve">Updated </w:t>
            </w:r>
            <w:r w:rsidR="00823549">
              <w:rPr>
                <w:sz w:val="24"/>
                <w:szCs w:val="24"/>
              </w:rPr>
              <w:t>June</w:t>
            </w:r>
            <w:r w:rsidR="00991739" w:rsidRPr="00991739">
              <w:rPr>
                <w:sz w:val="24"/>
                <w:szCs w:val="24"/>
              </w:rPr>
              <w:t xml:space="preserve"> 2023</w:t>
            </w:r>
          </w:p>
          <w:p w14:paraId="6075E95B" w14:textId="77777777" w:rsidR="00444D82" w:rsidRPr="003072C6" w:rsidRDefault="00444D82" w:rsidP="00E91933">
            <w:pPr>
              <w:pStyle w:val="DHHSreportsubtitlewhite"/>
            </w:pPr>
          </w:p>
        </w:tc>
      </w:tr>
    </w:tbl>
    <w:p w14:paraId="0478B317" w14:textId="77777777" w:rsidR="00C51B1C" w:rsidRPr="00256E7C" w:rsidRDefault="00C51B1C" w:rsidP="00256E7C">
      <w:pPr>
        <w:pStyle w:val="DHHSbody"/>
        <w:sectPr w:rsidR="00C51B1C" w:rsidRPr="00256E7C" w:rsidSect="00A55989">
          <w:footerReference w:type="even" r:id="rId12"/>
          <w:footerReference w:type="default" r:id="rId13"/>
          <w:type w:val="oddPage"/>
          <w:pgSz w:w="11906" w:h="16838"/>
          <w:pgMar w:top="3969" w:right="1304" w:bottom="1134" w:left="1304" w:header="454" w:footer="567" w:gutter="0"/>
          <w:cols w:space="720"/>
          <w:docGrid w:linePitch="360"/>
        </w:sectPr>
      </w:pPr>
    </w:p>
    <w:p w14:paraId="53E0ED17" w14:textId="77777777" w:rsidR="00AC0C3B" w:rsidRPr="00711B0C" w:rsidRDefault="00AC0C3B" w:rsidP="00711B0C">
      <w:pPr>
        <w:pStyle w:val="DHHSTOCheadingreport"/>
      </w:pPr>
      <w:r w:rsidRPr="00711B0C">
        <w:lastRenderedPageBreak/>
        <w:t>Contents</w:t>
      </w:r>
    </w:p>
    <w:p w14:paraId="4AB54432" w14:textId="104662CC" w:rsidR="003B5AA4" w:rsidRDefault="00E15DA9">
      <w:pPr>
        <w:pStyle w:val="TOC1"/>
        <w:tabs>
          <w:tab w:val="left" w:pos="567"/>
        </w:tabs>
        <w:rPr>
          <w:rFonts w:asciiTheme="minorHAnsi" w:eastAsiaTheme="minorEastAsia" w:hAnsiTheme="minorHAnsi" w:cstheme="minorBidi"/>
          <w:b w:val="0"/>
          <w:sz w:val="22"/>
          <w:szCs w:val="22"/>
          <w:lang w:eastAsia="en-AU"/>
        </w:rPr>
      </w:pPr>
      <w:r w:rsidRPr="003072C6">
        <w:rPr>
          <w:color w:val="2B579A"/>
          <w:shd w:val="clear" w:color="auto" w:fill="E6E6E6"/>
        </w:rPr>
        <w:fldChar w:fldCharType="begin"/>
      </w:r>
      <w:r w:rsidRPr="003072C6">
        <w:rPr>
          <w:noProof w:val="0"/>
        </w:rPr>
        <w:instrText xml:space="preserve"> TOC \h \z \t "Heading 1,1,Heading 2,2" </w:instrText>
      </w:r>
      <w:r w:rsidRPr="003072C6">
        <w:rPr>
          <w:color w:val="2B579A"/>
          <w:shd w:val="clear" w:color="auto" w:fill="E6E6E6"/>
        </w:rPr>
        <w:fldChar w:fldCharType="separate"/>
      </w:r>
      <w:hyperlink w:anchor="_Toc136955685" w:history="1">
        <w:r w:rsidR="003B5AA4" w:rsidRPr="00DE0347">
          <w:rPr>
            <w:rStyle w:val="Hyperlink"/>
          </w:rPr>
          <w:t>1</w:t>
        </w:r>
        <w:r w:rsidR="003B5AA4">
          <w:rPr>
            <w:rFonts w:asciiTheme="minorHAnsi" w:eastAsiaTheme="minorEastAsia" w:hAnsiTheme="minorHAnsi" w:cstheme="minorBidi"/>
            <w:b w:val="0"/>
            <w:sz w:val="22"/>
            <w:szCs w:val="22"/>
            <w:lang w:eastAsia="en-AU"/>
          </w:rPr>
          <w:tab/>
        </w:r>
        <w:r w:rsidR="003B5AA4" w:rsidRPr="00DE0347">
          <w:rPr>
            <w:rStyle w:val="Hyperlink"/>
          </w:rPr>
          <w:t>Research policy</w:t>
        </w:r>
        <w:r w:rsidR="003B5AA4">
          <w:rPr>
            <w:webHidden/>
          </w:rPr>
          <w:tab/>
        </w:r>
        <w:r w:rsidR="003B5AA4">
          <w:rPr>
            <w:webHidden/>
          </w:rPr>
          <w:fldChar w:fldCharType="begin"/>
        </w:r>
        <w:r w:rsidR="003B5AA4">
          <w:rPr>
            <w:webHidden/>
          </w:rPr>
          <w:instrText xml:space="preserve"> PAGEREF _Toc136955685 \h </w:instrText>
        </w:r>
        <w:r w:rsidR="003B5AA4">
          <w:rPr>
            <w:webHidden/>
          </w:rPr>
        </w:r>
        <w:r w:rsidR="003B5AA4">
          <w:rPr>
            <w:webHidden/>
          </w:rPr>
          <w:fldChar w:fldCharType="separate"/>
        </w:r>
        <w:r w:rsidR="003B5AA4">
          <w:rPr>
            <w:webHidden/>
          </w:rPr>
          <w:t>5</w:t>
        </w:r>
        <w:r w:rsidR="003B5AA4">
          <w:rPr>
            <w:webHidden/>
          </w:rPr>
          <w:fldChar w:fldCharType="end"/>
        </w:r>
      </w:hyperlink>
    </w:p>
    <w:p w14:paraId="2706124D" w14:textId="52CA2F82"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86" w:history="1">
        <w:r w:rsidRPr="00DE0347">
          <w:rPr>
            <w:rStyle w:val="Hyperlink"/>
          </w:rPr>
          <w:t>1.1</w:t>
        </w:r>
        <w:r>
          <w:rPr>
            <w:rFonts w:asciiTheme="minorHAnsi" w:eastAsiaTheme="minorEastAsia" w:hAnsiTheme="minorHAnsi" w:cstheme="minorBidi"/>
            <w:sz w:val="22"/>
            <w:szCs w:val="22"/>
            <w:lang w:eastAsia="en-AU"/>
          </w:rPr>
          <w:tab/>
        </w:r>
        <w:r w:rsidRPr="00DE0347">
          <w:rPr>
            <w:rStyle w:val="Hyperlink"/>
          </w:rPr>
          <w:t>Responsibilities of Institutions</w:t>
        </w:r>
        <w:r>
          <w:rPr>
            <w:webHidden/>
          </w:rPr>
          <w:tab/>
        </w:r>
        <w:r>
          <w:rPr>
            <w:webHidden/>
          </w:rPr>
          <w:fldChar w:fldCharType="begin"/>
        </w:r>
        <w:r>
          <w:rPr>
            <w:webHidden/>
          </w:rPr>
          <w:instrText xml:space="preserve"> PAGEREF _Toc136955686 \h </w:instrText>
        </w:r>
        <w:r>
          <w:rPr>
            <w:webHidden/>
          </w:rPr>
        </w:r>
        <w:r>
          <w:rPr>
            <w:webHidden/>
          </w:rPr>
          <w:fldChar w:fldCharType="separate"/>
        </w:r>
        <w:r>
          <w:rPr>
            <w:webHidden/>
          </w:rPr>
          <w:t>5</w:t>
        </w:r>
        <w:r>
          <w:rPr>
            <w:webHidden/>
          </w:rPr>
          <w:fldChar w:fldCharType="end"/>
        </w:r>
      </w:hyperlink>
    </w:p>
    <w:p w14:paraId="2EF8C92C" w14:textId="4E5A3BBC"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87" w:history="1">
        <w:r w:rsidRPr="00DE0347">
          <w:rPr>
            <w:rStyle w:val="Hyperlink"/>
          </w:rPr>
          <w:t>1.2</w:t>
        </w:r>
        <w:r>
          <w:rPr>
            <w:rFonts w:asciiTheme="minorHAnsi" w:eastAsiaTheme="minorEastAsia" w:hAnsiTheme="minorHAnsi" w:cstheme="minorBidi"/>
            <w:sz w:val="22"/>
            <w:szCs w:val="22"/>
            <w:lang w:eastAsia="en-AU"/>
          </w:rPr>
          <w:tab/>
        </w:r>
        <w:r w:rsidRPr="00DE0347">
          <w:rPr>
            <w:rStyle w:val="Hyperlink"/>
          </w:rPr>
          <w:t>Responsibilities of researchers and supervisors of research trainees</w:t>
        </w:r>
        <w:r>
          <w:rPr>
            <w:webHidden/>
          </w:rPr>
          <w:tab/>
        </w:r>
        <w:r>
          <w:rPr>
            <w:webHidden/>
          </w:rPr>
          <w:fldChar w:fldCharType="begin"/>
        </w:r>
        <w:r>
          <w:rPr>
            <w:webHidden/>
          </w:rPr>
          <w:instrText xml:space="preserve"> PAGEREF _Toc136955687 \h </w:instrText>
        </w:r>
        <w:r>
          <w:rPr>
            <w:webHidden/>
          </w:rPr>
        </w:r>
        <w:r>
          <w:rPr>
            <w:webHidden/>
          </w:rPr>
          <w:fldChar w:fldCharType="separate"/>
        </w:r>
        <w:r>
          <w:rPr>
            <w:webHidden/>
          </w:rPr>
          <w:t>5</w:t>
        </w:r>
        <w:r>
          <w:rPr>
            <w:webHidden/>
          </w:rPr>
          <w:fldChar w:fldCharType="end"/>
        </w:r>
      </w:hyperlink>
    </w:p>
    <w:p w14:paraId="194A757A" w14:textId="2D0526AB"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88" w:history="1">
        <w:r w:rsidRPr="00DE0347">
          <w:rPr>
            <w:rStyle w:val="Hyperlink"/>
          </w:rPr>
          <w:t>1.3</w:t>
        </w:r>
        <w:r>
          <w:rPr>
            <w:rFonts w:asciiTheme="minorHAnsi" w:eastAsiaTheme="minorEastAsia" w:hAnsiTheme="minorHAnsi" w:cstheme="minorBidi"/>
            <w:sz w:val="22"/>
            <w:szCs w:val="22"/>
            <w:lang w:eastAsia="en-AU"/>
          </w:rPr>
          <w:tab/>
        </w:r>
        <w:r w:rsidRPr="00DE0347">
          <w:rPr>
            <w:rStyle w:val="Hyperlink"/>
          </w:rPr>
          <w:t>Ethical standards</w:t>
        </w:r>
        <w:r>
          <w:rPr>
            <w:webHidden/>
          </w:rPr>
          <w:tab/>
        </w:r>
        <w:r>
          <w:rPr>
            <w:webHidden/>
          </w:rPr>
          <w:fldChar w:fldCharType="begin"/>
        </w:r>
        <w:r>
          <w:rPr>
            <w:webHidden/>
          </w:rPr>
          <w:instrText xml:space="preserve"> PAGEREF _Toc136955688 \h </w:instrText>
        </w:r>
        <w:r>
          <w:rPr>
            <w:webHidden/>
          </w:rPr>
        </w:r>
        <w:r>
          <w:rPr>
            <w:webHidden/>
          </w:rPr>
          <w:fldChar w:fldCharType="separate"/>
        </w:r>
        <w:r>
          <w:rPr>
            <w:webHidden/>
          </w:rPr>
          <w:t>5</w:t>
        </w:r>
        <w:r>
          <w:rPr>
            <w:webHidden/>
          </w:rPr>
          <w:fldChar w:fldCharType="end"/>
        </w:r>
      </w:hyperlink>
    </w:p>
    <w:p w14:paraId="588990A7" w14:textId="6E99D235"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89" w:history="1">
        <w:r w:rsidRPr="00DE0347">
          <w:rPr>
            <w:rStyle w:val="Hyperlink"/>
          </w:rPr>
          <w:t>1.4</w:t>
        </w:r>
        <w:r>
          <w:rPr>
            <w:rFonts w:asciiTheme="minorHAnsi" w:eastAsiaTheme="minorEastAsia" w:hAnsiTheme="minorHAnsi" w:cstheme="minorBidi"/>
            <w:sz w:val="22"/>
            <w:szCs w:val="22"/>
            <w:lang w:eastAsia="en-AU"/>
          </w:rPr>
          <w:tab/>
        </w:r>
        <w:r w:rsidRPr="00DE0347">
          <w:rPr>
            <w:rStyle w:val="Hyperlink"/>
          </w:rPr>
          <w:t>Ethics clearance</w:t>
        </w:r>
        <w:r>
          <w:rPr>
            <w:webHidden/>
          </w:rPr>
          <w:tab/>
        </w:r>
        <w:r>
          <w:rPr>
            <w:webHidden/>
          </w:rPr>
          <w:fldChar w:fldCharType="begin"/>
        </w:r>
        <w:r>
          <w:rPr>
            <w:webHidden/>
          </w:rPr>
          <w:instrText xml:space="preserve"> PAGEREF _Toc136955689 \h </w:instrText>
        </w:r>
        <w:r>
          <w:rPr>
            <w:webHidden/>
          </w:rPr>
        </w:r>
        <w:r>
          <w:rPr>
            <w:webHidden/>
          </w:rPr>
          <w:fldChar w:fldCharType="separate"/>
        </w:r>
        <w:r>
          <w:rPr>
            <w:webHidden/>
          </w:rPr>
          <w:t>6</w:t>
        </w:r>
        <w:r>
          <w:rPr>
            <w:webHidden/>
          </w:rPr>
          <w:fldChar w:fldCharType="end"/>
        </w:r>
      </w:hyperlink>
    </w:p>
    <w:p w14:paraId="307F2D83" w14:textId="0C07EDEB"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0" w:history="1">
        <w:r w:rsidRPr="00DE0347">
          <w:rPr>
            <w:rStyle w:val="Hyperlink"/>
          </w:rPr>
          <w:t>1.5</w:t>
        </w:r>
        <w:r>
          <w:rPr>
            <w:rFonts w:asciiTheme="minorHAnsi" w:eastAsiaTheme="minorEastAsia" w:hAnsiTheme="minorHAnsi" w:cstheme="minorBidi"/>
            <w:sz w:val="22"/>
            <w:szCs w:val="22"/>
            <w:lang w:eastAsia="en-AU"/>
          </w:rPr>
          <w:tab/>
        </w:r>
        <w:r w:rsidRPr="00DE0347">
          <w:rPr>
            <w:rStyle w:val="Hyperlink"/>
          </w:rPr>
          <w:t>Conflict of interest</w:t>
        </w:r>
        <w:r>
          <w:rPr>
            <w:webHidden/>
          </w:rPr>
          <w:tab/>
        </w:r>
        <w:r>
          <w:rPr>
            <w:webHidden/>
          </w:rPr>
          <w:fldChar w:fldCharType="begin"/>
        </w:r>
        <w:r>
          <w:rPr>
            <w:webHidden/>
          </w:rPr>
          <w:instrText xml:space="preserve"> PAGEREF _Toc136955690 \h </w:instrText>
        </w:r>
        <w:r>
          <w:rPr>
            <w:webHidden/>
          </w:rPr>
        </w:r>
        <w:r>
          <w:rPr>
            <w:webHidden/>
          </w:rPr>
          <w:fldChar w:fldCharType="separate"/>
        </w:r>
        <w:r>
          <w:rPr>
            <w:webHidden/>
          </w:rPr>
          <w:t>6</w:t>
        </w:r>
        <w:r>
          <w:rPr>
            <w:webHidden/>
          </w:rPr>
          <w:fldChar w:fldCharType="end"/>
        </w:r>
      </w:hyperlink>
    </w:p>
    <w:p w14:paraId="1A01C213" w14:textId="02398CC5"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1" w:history="1">
        <w:r w:rsidRPr="00DE0347">
          <w:rPr>
            <w:rStyle w:val="Hyperlink"/>
          </w:rPr>
          <w:t>1.6</w:t>
        </w:r>
        <w:r>
          <w:rPr>
            <w:rFonts w:asciiTheme="minorHAnsi" w:eastAsiaTheme="minorEastAsia" w:hAnsiTheme="minorHAnsi" w:cstheme="minorBidi"/>
            <w:sz w:val="22"/>
            <w:szCs w:val="22"/>
            <w:lang w:eastAsia="en-AU"/>
          </w:rPr>
          <w:tab/>
        </w:r>
        <w:r w:rsidRPr="00DE0347">
          <w:rPr>
            <w:rStyle w:val="Hyperlink"/>
          </w:rPr>
          <w:t>Non-duplication</w:t>
        </w:r>
        <w:r>
          <w:rPr>
            <w:webHidden/>
          </w:rPr>
          <w:tab/>
        </w:r>
        <w:r>
          <w:rPr>
            <w:webHidden/>
          </w:rPr>
          <w:fldChar w:fldCharType="begin"/>
        </w:r>
        <w:r>
          <w:rPr>
            <w:webHidden/>
          </w:rPr>
          <w:instrText xml:space="preserve"> PAGEREF _Toc136955691 \h </w:instrText>
        </w:r>
        <w:r>
          <w:rPr>
            <w:webHidden/>
          </w:rPr>
        </w:r>
        <w:r>
          <w:rPr>
            <w:webHidden/>
          </w:rPr>
          <w:fldChar w:fldCharType="separate"/>
        </w:r>
        <w:r>
          <w:rPr>
            <w:webHidden/>
          </w:rPr>
          <w:t>6</w:t>
        </w:r>
        <w:r>
          <w:rPr>
            <w:webHidden/>
          </w:rPr>
          <w:fldChar w:fldCharType="end"/>
        </w:r>
      </w:hyperlink>
    </w:p>
    <w:p w14:paraId="507F1151" w14:textId="5850999C"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2" w:history="1">
        <w:r w:rsidRPr="00DE0347">
          <w:rPr>
            <w:rStyle w:val="Hyperlink"/>
          </w:rPr>
          <w:t>1.7</w:t>
        </w:r>
        <w:r>
          <w:rPr>
            <w:rFonts w:asciiTheme="minorHAnsi" w:eastAsiaTheme="minorEastAsia" w:hAnsiTheme="minorHAnsi" w:cstheme="minorBidi"/>
            <w:sz w:val="22"/>
            <w:szCs w:val="22"/>
            <w:lang w:eastAsia="en-AU"/>
          </w:rPr>
          <w:tab/>
        </w:r>
        <w:r w:rsidRPr="00DE0347">
          <w:rPr>
            <w:rStyle w:val="Hyperlink"/>
          </w:rPr>
          <w:t>The dissemination of research outputs</w:t>
        </w:r>
        <w:r>
          <w:rPr>
            <w:webHidden/>
          </w:rPr>
          <w:tab/>
        </w:r>
        <w:r>
          <w:rPr>
            <w:webHidden/>
          </w:rPr>
          <w:fldChar w:fldCharType="begin"/>
        </w:r>
        <w:r>
          <w:rPr>
            <w:webHidden/>
          </w:rPr>
          <w:instrText xml:space="preserve"> PAGEREF _Toc136955692 \h </w:instrText>
        </w:r>
        <w:r>
          <w:rPr>
            <w:webHidden/>
          </w:rPr>
        </w:r>
        <w:r>
          <w:rPr>
            <w:webHidden/>
          </w:rPr>
          <w:fldChar w:fldCharType="separate"/>
        </w:r>
        <w:r>
          <w:rPr>
            <w:webHidden/>
          </w:rPr>
          <w:t>7</w:t>
        </w:r>
        <w:r>
          <w:rPr>
            <w:webHidden/>
          </w:rPr>
          <w:fldChar w:fldCharType="end"/>
        </w:r>
      </w:hyperlink>
    </w:p>
    <w:p w14:paraId="35C83608" w14:textId="08383CCB"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3" w:history="1">
        <w:r w:rsidRPr="00DE0347">
          <w:rPr>
            <w:rStyle w:val="Hyperlink"/>
          </w:rPr>
          <w:t>1.8</w:t>
        </w:r>
        <w:r>
          <w:rPr>
            <w:rFonts w:asciiTheme="minorHAnsi" w:eastAsiaTheme="minorEastAsia" w:hAnsiTheme="minorHAnsi" w:cstheme="minorBidi"/>
            <w:sz w:val="22"/>
            <w:szCs w:val="22"/>
            <w:lang w:eastAsia="en-AU"/>
          </w:rPr>
          <w:tab/>
        </w:r>
        <w:r w:rsidRPr="00DE0347">
          <w:rPr>
            <w:rStyle w:val="Hyperlink"/>
          </w:rPr>
          <w:t>Special responsibilities: engagement of Aboriginal and Torres Strait Islander people in research</w:t>
        </w:r>
        <w:r>
          <w:rPr>
            <w:webHidden/>
          </w:rPr>
          <w:tab/>
        </w:r>
        <w:r>
          <w:rPr>
            <w:webHidden/>
          </w:rPr>
          <w:fldChar w:fldCharType="begin"/>
        </w:r>
        <w:r>
          <w:rPr>
            <w:webHidden/>
          </w:rPr>
          <w:instrText xml:space="preserve"> PAGEREF _Toc136955693 \h </w:instrText>
        </w:r>
        <w:r>
          <w:rPr>
            <w:webHidden/>
          </w:rPr>
        </w:r>
        <w:r>
          <w:rPr>
            <w:webHidden/>
          </w:rPr>
          <w:fldChar w:fldCharType="separate"/>
        </w:r>
        <w:r>
          <w:rPr>
            <w:webHidden/>
          </w:rPr>
          <w:t>7</w:t>
        </w:r>
        <w:r>
          <w:rPr>
            <w:webHidden/>
          </w:rPr>
          <w:fldChar w:fldCharType="end"/>
        </w:r>
      </w:hyperlink>
    </w:p>
    <w:p w14:paraId="5CCD9012" w14:textId="2662AE20"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694" w:history="1">
        <w:r w:rsidRPr="00DE0347">
          <w:rPr>
            <w:rStyle w:val="Hyperlink"/>
          </w:rPr>
          <w:t>2</w:t>
        </w:r>
        <w:r>
          <w:rPr>
            <w:rFonts w:asciiTheme="minorHAnsi" w:eastAsiaTheme="minorEastAsia" w:hAnsiTheme="minorHAnsi" w:cstheme="minorBidi"/>
            <w:b w:val="0"/>
            <w:sz w:val="22"/>
            <w:szCs w:val="22"/>
            <w:lang w:eastAsia="en-AU"/>
          </w:rPr>
          <w:tab/>
        </w:r>
        <w:r w:rsidRPr="00DE0347">
          <w:rPr>
            <w:rStyle w:val="Hyperlink"/>
          </w:rPr>
          <w:t>Commercialisation</w:t>
        </w:r>
        <w:r>
          <w:rPr>
            <w:webHidden/>
          </w:rPr>
          <w:tab/>
        </w:r>
        <w:r>
          <w:rPr>
            <w:webHidden/>
          </w:rPr>
          <w:fldChar w:fldCharType="begin"/>
        </w:r>
        <w:r>
          <w:rPr>
            <w:webHidden/>
          </w:rPr>
          <w:instrText xml:space="preserve"> PAGEREF _Toc136955694 \h </w:instrText>
        </w:r>
        <w:r>
          <w:rPr>
            <w:webHidden/>
          </w:rPr>
        </w:r>
        <w:r>
          <w:rPr>
            <w:webHidden/>
          </w:rPr>
          <w:fldChar w:fldCharType="separate"/>
        </w:r>
        <w:r>
          <w:rPr>
            <w:webHidden/>
          </w:rPr>
          <w:t>7</w:t>
        </w:r>
        <w:r>
          <w:rPr>
            <w:webHidden/>
          </w:rPr>
          <w:fldChar w:fldCharType="end"/>
        </w:r>
      </w:hyperlink>
    </w:p>
    <w:p w14:paraId="551CE119" w14:textId="20AB2945"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5" w:history="1">
        <w:r w:rsidRPr="00DE0347">
          <w:rPr>
            <w:rStyle w:val="Hyperlink"/>
          </w:rPr>
          <w:t>2.1</w:t>
        </w:r>
        <w:r>
          <w:rPr>
            <w:rFonts w:asciiTheme="minorHAnsi" w:eastAsiaTheme="minorEastAsia" w:hAnsiTheme="minorHAnsi" w:cstheme="minorBidi"/>
            <w:sz w:val="22"/>
            <w:szCs w:val="22"/>
            <w:lang w:eastAsia="en-AU"/>
          </w:rPr>
          <w:tab/>
        </w:r>
        <w:r w:rsidRPr="00DE0347">
          <w:rPr>
            <w:rStyle w:val="Hyperlink"/>
          </w:rPr>
          <w:t>The purpose of promoting commercialisation</w:t>
        </w:r>
        <w:r>
          <w:rPr>
            <w:webHidden/>
          </w:rPr>
          <w:tab/>
        </w:r>
        <w:r>
          <w:rPr>
            <w:webHidden/>
          </w:rPr>
          <w:fldChar w:fldCharType="begin"/>
        </w:r>
        <w:r>
          <w:rPr>
            <w:webHidden/>
          </w:rPr>
          <w:instrText xml:space="preserve"> PAGEREF _Toc136955695 \h </w:instrText>
        </w:r>
        <w:r>
          <w:rPr>
            <w:webHidden/>
          </w:rPr>
        </w:r>
        <w:r>
          <w:rPr>
            <w:webHidden/>
          </w:rPr>
          <w:fldChar w:fldCharType="separate"/>
        </w:r>
        <w:r>
          <w:rPr>
            <w:webHidden/>
          </w:rPr>
          <w:t>7</w:t>
        </w:r>
        <w:r>
          <w:rPr>
            <w:webHidden/>
          </w:rPr>
          <w:fldChar w:fldCharType="end"/>
        </w:r>
      </w:hyperlink>
    </w:p>
    <w:p w14:paraId="4FF45EC3" w14:textId="2BBF9C96"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6" w:history="1">
        <w:r w:rsidRPr="00DE0347">
          <w:rPr>
            <w:rStyle w:val="Hyperlink"/>
          </w:rPr>
          <w:t>2.2</w:t>
        </w:r>
        <w:r>
          <w:rPr>
            <w:rFonts w:asciiTheme="minorHAnsi" w:eastAsiaTheme="minorEastAsia" w:hAnsiTheme="minorHAnsi" w:cstheme="minorBidi"/>
            <w:sz w:val="22"/>
            <w:szCs w:val="22"/>
            <w:lang w:eastAsia="en-AU"/>
          </w:rPr>
          <w:tab/>
        </w:r>
        <w:r w:rsidRPr="00DE0347">
          <w:rPr>
            <w:rStyle w:val="Hyperlink"/>
          </w:rPr>
          <w:t>Commercialisation Obligations under a VCA Agreement</w:t>
        </w:r>
        <w:r>
          <w:rPr>
            <w:webHidden/>
          </w:rPr>
          <w:tab/>
        </w:r>
        <w:r>
          <w:rPr>
            <w:webHidden/>
          </w:rPr>
          <w:fldChar w:fldCharType="begin"/>
        </w:r>
        <w:r>
          <w:rPr>
            <w:webHidden/>
          </w:rPr>
          <w:instrText xml:space="preserve"> PAGEREF _Toc136955696 \h </w:instrText>
        </w:r>
        <w:r>
          <w:rPr>
            <w:webHidden/>
          </w:rPr>
        </w:r>
        <w:r>
          <w:rPr>
            <w:webHidden/>
          </w:rPr>
          <w:fldChar w:fldCharType="separate"/>
        </w:r>
        <w:r>
          <w:rPr>
            <w:webHidden/>
          </w:rPr>
          <w:t>8</w:t>
        </w:r>
        <w:r>
          <w:rPr>
            <w:webHidden/>
          </w:rPr>
          <w:fldChar w:fldCharType="end"/>
        </w:r>
      </w:hyperlink>
    </w:p>
    <w:p w14:paraId="6CE44125" w14:textId="627CEBBC"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7" w:history="1">
        <w:r w:rsidRPr="00DE0347">
          <w:rPr>
            <w:rStyle w:val="Hyperlink"/>
          </w:rPr>
          <w:t>2.3</w:t>
        </w:r>
        <w:r>
          <w:rPr>
            <w:rFonts w:asciiTheme="minorHAnsi" w:eastAsiaTheme="minorEastAsia" w:hAnsiTheme="minorHAnsi" w:cstheme="minorBidi"/>
            <w:sz w:val="22"/>
            <w:szCs w:val="22"/>
            <w:lang w:eastAsia="en-AU"/>
          </w:rPr>
          <w:tab/>
        </w:r>
        <w:r w:rsidRPr="00DE0347">
          <w:rPr>
            <w:rStyle w:val="Hyperlink"/>
          </w:rPr>
          <w:t>Manner of commercialisation</w:t>
        </w:r>
        <w:r>
          <w:rPr>
            <w:webHidden/>
          </w:rPr>
          <w:tab/>
        </w:r>
        <w:r>
          <w:rPr>
            <w:webHidden/>
          </w:rPr>
          <w:fldChar w:fldCharType="begin"/>
        </w:r>
        <w:r>
          <w:rPr>
            <w:webHidden/>
          </w:rPr>
          <w:instrText xml:space="preserve"> PAGEREF _Toc136955697 \h </w:instrText>
        </w:r>
        <w:r>
          <w:rPr>
            <w:webHidden/>
          </w:rPr>
        </w:r>
        <w:r>
          <w:rPr>
            <w:webHidden/>
          </w:rPr>
          <w:fldChar w:fldCharType="separate"/>
        </w:r>
        <w:r>
          <w:rPr>
            <w:webHidden/>
          </w:rPr>
          <w:t>8</w:t>
        </w:r>
        <w:r>
          <w:rPr>
            <w:webHidden/>
          </w:rPr>
          <w:fldChar w:fldCharType="end"/>
        </w:r>
      </w:hyperlink>
    </w:p>
    <w:p w14:paraId="0BA40E46" w14:textId="147CC782" w:rsidR="003B5AA4" w:rsidRDefault="003B5AA4">
      <w:pPr>
        <w:pStyle w:val="TOC2"/>
        <w:tabs>
          <w:tab w:val="left" w:pos="567"/>
        </w:tabs>
        <w:rPr>
          <w:rFonts w:asciiTheme="minorHAnsi" w:eastAsiaTheme="minorEastAsia" w:hAnsiTheme="minorHAnsi" w:cstheme="minorBidi"/>
          <w:sz w:val="22"/>
          <w:szCs w:val="22"/>
          <w:lang w:eastAsia="en-AU"/>
        </w:rPr>
      </w:pPr>
      <w:hyperlink w:anchor="_Toc136955698" w:history="1">
        <w:r w:rsidRPr="00DE0347">
          <w:rPr>
            <w:rStyle w:val="Hyperlink"/>
          </w:rPr>
          <w:t>2.4</w:t>
        </w:r>
        <w:r>
          <w:rPr>
            <w:rFonts w:asciiTheme="minorHAnsi" w:eastAsiaTheme="minorEastAsia" w:hAnsiTheme="minorHAnsi" w:cstheme="minorBidi"/>
            <w:sz w:val="22"/>
            <w:szCs w:val="22"/>
            <w:lang w:eastAsia="en-AU"/>
          </w:rPr>
          <w:tab/>
        </w:r>
        <w:r w:rsidRPr="00DE0347">
          <w:rPr>
            <w:rStyle w:val="Hyperlink"/>
          </w:rPr>
          <w:t>Commercialisation considerations</w:t>
        </w:r>
        <w:r>
          <w:rPr>
            <w:webHidden/>
          </w:rPr>
          <w:tab/>
        </w:r>
        <w:r>
          <w:rPr>
            <w:webHidden/>
          </w:rPr>
          <w:fldChar w:fldCharType="begin"/>
        </w:r>
        <w:r>
          <w:rPr>
            <w:webHidden/>
          </w:rPr>
          <w:instrText xml:space="preserve"> PAGEREF _Toc136955698 \h </w:instrText>
        </w:r>
        <w:r>
          <w:rPr>
            <w:webHidden/>
          </w:rPr>
        </w:r>
        <w:r>
          <w:rPr>
            <w:webHidden/>
          </w:rPr>
          <w:fldChar w:fldCharType="separate"/>
        </w:r>
        <w:r>
          <w:rPr>
            <w:webHidden/>
          </w:rPr>
          <w:t>8</w:t>
        </w:r>
        <w:r>
          <w:rPr>
            <w:webHidden/>
          </w:rPr>
          <w:fldChar w:fldCharType="end"/>
        </w:r>
      </w:hyperlink>
    </w:p>
    <w:p w14:paraId="2FC44136" w14:textId="302F8CCE"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699" w:history="1">
        <w:r w:rsidRPr="00DE0347">
          <w:rPr>
            <w:rStyle w:val="Hyperlink"/>
          </w:rPr>
          <w:t>3</w:t>
        </w:r>
        <w:r>
          <w:rPr>
            <w:rFonts w:asciiTheme="minorHAnsi" w:eastAsiaTheme="minorEastAsia" w:hAnsiTheme="minorHAnsi" w:cstheme="minorBidi"/>
            <w:b w:val="0"/>
            <w:sz w:val="22"/>
            <w:szCs w:val="22"/>
            <w:lang w:eastAsia="en-AU"/>
          </w:rPr>
          <w:tab/>
        </w:r>
        <w:r w:rsidRPr="00DE0347">
          <w:rPr>
            <w:rStyle w:val="Hyperlink"/>
          </w:rPr>
          <w:t>Intellectual property</w:t>
        </w:r>
        <w:r>
          <w:rPr>
            <w:webHidden/>
          </w:rPr>
          <w:tab/>
        </w:r>
        <w:r>
          <w:rPr>
            <w:webHidden/>
          </w:rPr>
          <w:fldChar w:fldCharType="begin"/>
        </w:r>
        <w:r>
          <w:rPr>
            <w:webHidden/>
          </w:rPr>
          <w:instrText xml:space="preserve"> PAGEREF _Toc136955699 \h </w:instrText>
        </w:r>
        <w:r>
          <w:rPr>
            <w:webHidden/>
          </w:rPr>
        </w:r>
        <w:r>
          <w:rPr>
            <w:webHidden/>
          </w:rPr>
          <w:fldChar w:fldCharType="separate"/>
        </w:r>
        <w:r>
          <w:rPr>
            <w:webHidden/>
          </w:rPr>
          <w:t>8</w:t>
        </w:r>
        <w:r>
          <w:rPr>
            <w:webHidden/>
          </w:rPr>
          <w:fldChar w:fldCharType="end"/>
        </w:r>
      </w:hyperlink>
    </w:p>
    <w:p w14:paraId="17068DC9" w14:textId="3632BB20"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0" w:history="1">
        <w:r w:rsidRPr="00DE0347">
          <w:rPr>
            <w:rStyle w:val="Hyperlink"/>
          </w:rPr>
          <w:t>3.1</w:t>
        </w:r>
        <w:r>
          <w:rPr>
            <w:rFonts w:asciiTheme="minorHAnsi" w:eastAsiaTheme="minorEastAsia" w:hAnsiTheme="minorHAnsi" w:cstheme="minorBidi"/>
            <w:sz w:val="22"/>
            <w:szCs w:val="22"/>
            <w:lang w:eastAsia="en-AU"/>
          </w:rPr>
          <w:tab/>
        </w:r>
        <w:r w:rsidRPr="00DE0347">
          <w:rPr>
            <w:rStyle w:val="Hyperlink"/>
          </w:rPr>
          <w:t>Publicly funded research and intellectual property</w:t>
        </w:r>
        <w:r>
          <w:rPr>
            <w:webHidden/>
          </w:rPr>
          <w:tab/>
        </w:r>
        <w:r>
          <w:rPr>
            <w:webHidden/>
          </w:rPr>
          <w:fldChar w:fldCharType="begin"/>
        </w:r>
        <w:r>
          <w:rPr>
            <w:webHidden/>
          </w:rPr>
          <w:instrText xml:space="preserve"> PAGEREF _Toc136955700 \h </w:instrText>
        </w:r>
        <w:r>
          <w:rPr>
            <w:webHidden/>
          </w:rPr>
        </w:r>
        <w:r>
          <w:rPr>
            <w:webHidden/>
          </w:rPr>
          <w:fldChar w:fldCharType="separate"/>
        </w:r>
        <w:r>
          <w:rPr>
            <w:webHidden/>
          </w:rPr>
          <w:t>9</w:t>
        </w:r>
        <w:r>
          <w:rPr>
            <w:webHidden/>
          </w:rPr>
          <w:fldChar w:fldCharType="end"/>
        </w:r>
      </w:hyperlink>
    </w:p>
    <w:p w14:paraId="717A1156" w14:textId="051B5C23"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1" w:history="1">
        <w:r w:rsidRPr="00DE0347">
          <w:rPr>
            <w:rStyle w:val="Hyperlink"/>
          </w:rPr>
          <w:t>3.2</w:t>
        </w:r>
        <w:r>
          <w:rPr>
            <w:rFonts w:asciiTheme="minorHAnsi" w:eastAsiaTheme="minorEastAsia" w:hAnsiTheme="minorHAnsi" w:cstheme="minorBidi"/>
            <w:sz w:val="22"/>
            <w:szCs w:val="22"/>
            <w:lang w:eastAsia="en-AU"/>
          </w:rPr>
          <w:tab/>
        </w:r>
        <w:r w:rsidRPr="00DE0347">
          <w:rPr>
            <w:rStyle w:val="Hyperlink"/>
          </w:rPr>
          <w:t>The commercialisation of intellectual property</w:t>
        </w:r>
        <w:r>
          <w:rPr>
            <w:webHidden/>
          </w:rPr>
          <w:tab/>
        </w:r>
        <w:r>
          <w:rPr>
            <w:webHidden/>
          </w:rPr>
          <w:fldChar w:fldCharType="begin"/>
        </w:r>
        <w:r>
          <w:rPr>
            <w:webHidden/>
          </w:rPr>
          <w:instrText xml:space="preserve"> PAGEREF _Toc136955701 \h </w:instrText>
        </w:r>
        <w:r>
          <w:rPr>
            <w:webHidden/>
          </w:rPr>
        </w:r>
        <w:r>
          <w:rPr>
            <w:webHidden/>
          </w:rPr>
          <w:fldChar w:fldCharType="separate"/>
        </w:r>
        <w:r>
          <w:rPr>
            <w:webHidden/>
          </w:rPr>
          <w:t>9</w:t>
        </w:r>
        <w:r>
          <w:rPr>
            <w:webHidden/>
          </w:rPr>
          <w:fldChar w:fldCharType="end"/>
        </w:r>
      </w:hyperlink>
    </w:p>
    <w:p w14:paraId="72F80EB8" w14:textId="5804BEF0"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2" w:history="1">
        <w:r w:rsidRPr="00DE0347">
          <w:rPr>
            <w:rStyle w:val="Hyperlink"/>
          </w:rPr>
          <w:t>3.3</w:t>
        </w:r>
        <w:r>
          <w:rPr>
            <w:rFonts w:asciiTheme="minorHAnsi" w:eastAsiaTheme="minorEastAsia" w:hAnsiTheme="minorHAnsi" w:cstheme="minorBidi"/>
            <w:sz w:val="22"/>
            <w:szCs w:val="22"/>
            <w:lang w:eastAsia="en-AU"/>
          </w:rPr>
          <w:tab/>
        </w:r>
        <w:r w:rsidRPr="00DE0347">
          <w:rPr>
            <w:rStyle w:val="Hyperlink"/>
          </w:rPr>
          <w:t>Intellectual property rights and obligations</w:t>
        </w:r>
        <w:r>
          <w:rPr>
            <w:webHidden/>
          </w:rPr>
          <w:tab/>
        </w:r>
        <w:r>
          <w:rPr>
            <w:webHidden/>
          </w:rPr>
          <w:fldChar w:fldCharType="begin"/>
        </w:r>
        <w:r>
          <w:rPr>
            <w:webHidden/>
          </w:rPr>
          <w:instrText xml:space="preserve"> PAGEREF _Toc136955702 \h </w:instrText>
        </w:r>
        <w:r>
          <w:rPr>
            <w:webHidden/>
          </w:rPr>
        </w:r>
        <w:r>
          <w:rPr>
            <w:webHidden/>
          </w:rPr>
          <w:fldChar w:fldCharType="separate"/>
        </w:r>
        <w:r>
          <w:rPr>
            <w:webHidden/>
          </w:rPr>
          <w:t>9</w:t>
        </w:r>
        <w:r>
          <w:rPr>
            <w:webHidden/>
          </w:rPr>
          <w:fldChar w:fldCharType="end"/>
        </w:r>
      </w:hyperlink>
    </w:p>
    <w:p w14:paraId="31599A10" w14:textId="7A3BFEE8"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3" w:history="1">
        <w:r w:rsidRPr="00DE0347">
          <w:rPr>
            <w:rStyle w:val="Hyperlink"/>
          </w:rPr>
          <w:t>3.4</w:t>
        </w:r>
        <w:r>
          <w:rPr>
            <w:rFonts w:asciiTheme="minorHAnsi" w:eastAsiaTheme="minorEastAsia" w:hAnsiTheme="minorHAnsi" w:cstheme="minorBidi"/>
            <w:sz w:val="22"/>
            <w:szCs w:val="22"/>
            <w:lang w:eastAsia="en-AU"/>
          </w:rPr>
          <w:tab/>
        </w:r>
        <w:r w:rsidRPr="00DE0347">
          <w:rPr>
            <w:rStyle w:val="Hyperlink"/>
          </w:rPr>
          <w:t>Industry best practice</w:t>
        </w:r>
        <w:r>
          <w:rPr>
            <w:webHidden/>
          </w:rPr>
          <w:tab/>
        </w:r>
        <w:r>
          <w:rPr>
            <w:webHidden/>
          </w:rPr>
          <w:fldChar w:fldCharType="begin"/>
        </w:r>
        <w:r>
          <w:rPr>
            <w:webHidden/>
          </w:rPr>
          <w:instrText xml:space="preserve"> PAGEREF _Toc136955703 \h </w:instrText>
        </w:r>
        <w:r>
          <w:rPr>
            <w:webHidden/>
          </w:rPr>
        </w:r>
        <w:r>
          <w:rPr>
            <w:webHidden/>
          </w:rPr>
          <w:fldChar w:fldCharType="separate"/>
        </w:r>
        <w:r>
          <w:rPr>
            <w:webHidden/>
          </w:rPr>
          <w:t>10</w:t>
        </w:r>
        <w:r>
          <w:rPr>
            <w:webHidden/>
          </w:rPr>
          <w:fldChar w:fldCharType="end"/>
        </w:r>
      </w:hyperlink>
    </w:p>
    <w:p w14:paraId="55781CF8" w14:textId="05F2CC2E"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704" w:history="1">
        <w:r w:rsidRPr="00DE0347">
          <w:rPr>
            <w:rStyle w:val="Hyperlink"/>
          </w:rPr>
          <w:t xml:space="preserve">4 </w:t>
        </w:r>
        <w:r>
          <w:rPr>
            <w:rFonts w:asciiTheme="minorHAnsi" w:eastAsiaTheme="minorEastAsia" w:hAnsiTheme="minorHAnsi" w:cstheme="minorBidi"/>
            <w:b w:val="0"/>
            <w:sz w:val="22"/>
            <w:szCs w:val="22"/>
            <w:lang w:eastAsia="en-AU"/>
          </w:rPr>
          <w:tab/>
        </w:r>
        <w:r w:rsidRPr="00DE0347">
          <w:rPr>
            <w:rStyle w:val="Hyperlink"/>
          </w:rPr>
          <w:t>Confidentiality</w:t>
        </w:r>
        <w:r>
          <w:rPr>
            <w:webHidden/>
          </w:rPr>
          <w:tab/>
        </w:r>
        <w:r>
          <w:rPr>
            <w:webHidden/>
          </w:rPr>
          <w:fldChar w:fldCharType="begin"/>
        </w:r>
        <w:r>
          <w:rPr>
            <w:webHidden/>
          </w:rPr>
          <w:instrText xml:space="preserve"> PAGEREF _Toc136955704 \h </w:instrText>
        </w:r>
        <w:r>
          <w:rPr>
            <w:webHidden/>
          </w:rPr>
        </w:r>
        <w:r>
          <w:rPr>
            <w:webHidden/>
          </w:rPr>
          <w:fldChar w:fldCharType="separate"/>
        </w:r>
        <w:r>
          <w:rPr>
            <w:webHidden/>
          </w:rPr>
          <w:t>10</w:t>
        </w:r>
        <w:r>
          <w:rPr>
            <w:webHidden/>
          </w:rPr>
          <w:fldChar w:fldCharType="end"/>
        </w:r>
      </w:hyperlink>
    </w:p>
    <w:p w14:paraId="7BFC4908" w14:textId="536E17AB"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5" w:history="1">
        <w:r w:rsidRPr="00DE0347">
          <w:rPr>
            <w:rStyle w:val="Hyperlink"/>
          </w:rPr>
          <w:t>4.1</w:t>
        </w:r>
        <w:r>
          <w:rPr>
            <w:rFonts w:asciiTheme="minorHAnsi" w:eastAsiaTheme="minorEastAsia" w:hAnsiTheme="minorHAnsi" w:cstheme="minorBidi"/>
            <w:sz w:val="22"/>
            <w:szCs w:val="22"/>
            <w:lang w:eastAsia="en-AU"/>
          </w:rPr>
          <w:tab/>
        </w:r>
        <w:r w:rsidRPr="00DE0347">
          <w:rPr>
            <w:rStyle w:val="Hyperlink"/>
          </w:rPr>
          <w:t>Confidential information</w:t>
        </w:r>
        <w:r>
          <w:rPr>
            <w:webHidden/>
          </w:rPr>
          <w:tab/>
        </w:r>
        <w:r>
          <w:rPr>
            <w:webHidden/>
          </w:rPr>
          <w:fldChar w:fldCharType="begin"/>
        </w:r>
        <w:r>
          <w:rPr>
            <w:webHidden/>
          </w:rPr>
          <w:instrText xml:space="preserve"> PAGEREF _Toc136955705 \h </w:instrText>
        </w:r>
        <w:r>
          <w:rPr>
            <w:webHidden/>
          </w:rPr>
        </w:r>
        <w:r>
          <w:rPr>
            <w:webHidden/>
          </w:rPr>
          <w:fldChar w:fldCharType="separate"/>
        </w:r>
        <w:r>
          <w:rPr>
            <w:webHidden/>
          </w:rPr>
          <w:t>10</w:t>
        </w:r>
        <w:r>
          <w:rPr>
            <w:webHidden/>
          </w:rPr>
          <w:fldChar w:fldCharType="end"/>
        </w:r>
      </w:hyperlink>
    </w:p>
    <w:p w14:paraId="188AAA2D" w14:textId="66735663"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6" w:history="1">
        <w:r w:rsidRPr="00DE0347">
          <w:rPr>
            <w:rStyle w:val="Hyperlink"/>
          </w:rPr>
          <w:t>4.2</w:t>
        </w:r>
        <w:r>
          <w:rPr>
            <w:rFonts w:asciiTheme="minorHAnsi" w:eastAsiaTheme="minorEastAsia" w:hAnsiTheme="minorHAnsi" w:cstheme="minorBidi"/>
            <w:sz w:val="22"/>
            <w:szCs w:val="22"/>
            <w:lang w:eastAsia="en-AU"/>
          </w:rPr>
          <w:tab/>
        </w:r>
        <w:r w:rsidRPr="00DE0347">
          <w:rPr>
            <w:rStyle w:val="Hyperlink"/>
          </w:rPr>
          <w:t>The Victorian Cancer Agency’s right to publicise the award of funding</w:t>
        </w:r>
        <w:r>
          <w:rPr>
            <w:webHidden/>
          </w:rPr>
          <w:tab/>
        </w:r>
        <w:r>
          <w:rPr>
            <w:webHidden/>
          </w:rPr>
          <w:fldChar w:fldCharType="begin"/>
        </w:r>
        <w:r>
          <w:rPr>
            <w:webHidden/>
          </w:rPr>
          <w:instrText xml:space="preserve"> PAGEREF _Toc136955706 \h </w:instrText>
        </w:r>
        <w:r>
          <w:rPr>
            <w:webHidden/>
          </w:rPr>
        </w:r>
        <w:r>
          <w:rPr>
            <w:webHidden/>
          </w:rPr>
          <w:fldChar w:fldCharType="separate"/>
        </w:r>
        <w:r>
          <w:rPr>
            <w:webHidden/>
          </w:rPr>
          <w:t>11</w:t>
        </w:r>
        <w:r>
          <w:rPr>
            <w:webHidden/>
          </w:rPr>
          <w:fldChar w:fldCharType="end"/>
        </w:r>
      </w:hyperlink>
    </w:p>
    <w:p w14:paraId="1AAF33FA" w14:textId="6F41F617"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7" w:history="1">
        <w:r w:rsidRPr="00DE0347">
          <w:rPr>
            <w:rStyle w:val="Hyperlink"/>
          </w:rPr>
          <w:t>4.3</w:t>
        </w:r>
        <w:r>
          <w:rPr>
            <w:rFonts w:asciiTheme="minorHAnsi" w:eastAsiaTheme="minorEastAsia" w:hAnsiTheme="minorHAnsi" w:cstheme="minorBidi"/>
            <w:sz w:val="22"/>
            <w:szCs w:val="22"/>
            <w:lang w:eastAsia="en-AU"/>
          </w:rPr>
          <w:tab/>
        </w:r>
        <w:r w:rsidRPr="00DE0347">
          <w:rPr>
            <w:rStyle w:val="Hyperlink"/>
          </w:rPr>
          <w:t>Written permissions</w:t>
        </w:r>
        <w:r>
          <w:rPr>
            <w:webHidden/>
          </w:rPr>
          <w:tab/>
        </w:r>
        <w:r>
          <w:rPr>
            <w:webHidden/>
          </w:rPr>
          <w:fldChar w:fldCharType="begin"/>
        </w:r>
        <w:r>
          <w:rPr>
            <w:webHidden/>
          </w:rPr>
          <w:instrText xml:space="preserve"> PAGEREF _Toc136955707 \h </w:instrText>
        </w:r>
        <w:r>
          <w:rPr>
            <w:webHidden/>
          </w:rPr>
        </w:r>
        <w:r>
          <w:rPr>
            <w:webHidden/>
          </w:rPr>
          <w:fldChar w:fldCharType="separate"/>
        </w:r>
        <w:r>
          <w:rPr>
            <w:webHidden/>
          </w:rPr>
          <w:t>11</w:t>
        </w:r>
        <w:r>
          <w:rPr>
            <w:webHidden/>
          </w:rPr>
          <w:fldChar w:fldCharType="end"/>
        </w:r>
      </w:hyperlink>
    </w:p>
    <w:p w14:paraId="4E69B711" w14:textId="28D4B96A"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08" w:history="1">
        <w:r w:rsidRPr="00DE0347">
          <w:rPr>
            <w:rStyle w:val="Hyperlink"/>
          </w:rPr>
          <w:t>4.4</w:t>
        </w:r>
        <w:r>
          <w:rPr>
            <w:rFonts w:asciiTheme="minorHAnsi" w:eastAsiaTheme="minorEastAsia" w:hAnsiTheme="minorHAnsi" w:cstheme="minorBidi"/>
            <w:sz w:val="22"/>
            <w:szCs w:val="22"/>
            <w:lang w:eastAsia="en-AU"/>
          </w:rPr>
          <w:tab/>
        </w:r>
        <w:r w:rsidRPr="00DE0347">
          <w:rPr>
            <w:rStyle w:val="Hyperlink"/>
          </w:rPr>
          <w:t>Privacy</w:t>
        </w:r>
        <w:r>
          <w:rPr>
            <w:webHidden/>
          </w:rPr>
          <w:tab/>
        </w:r>
        <w:r>
          <w:rPr>
            <w:webHidden/>
          </w:rPr>
          <w:fldChar w:fldCharType="begin"/>
        </w:r>
        <w:r>
          <w:rPr>
            <w:webHidden/>
          </w:rPr>
          <w:instrText xml:space="preserve"> PAGEREF _Toc136955708 \h </w:instrText>
        </w:r>
        <w:r>
          <w:rPr>
            <w:webHidden/>
          </w:rPr>
        </w:r>
        <w:r>
          <w:rPr>
            <w:webHidden/>
          </w:rPr>
          <w:fldChar w:fldCharType="separate"/>
        </w:r>
        <w:r>
          <w:rPr>
            <w:webHidden/>
          </w:rPr>
          <w:t>11</w:t>
        </w:r>
        <w:r>
          <w:rPr>
            <w:webHidden/>
          </w:rPr>
          <w:fldChar w:fldCharType="end"/>
        </w:r>
      </w:hyperlink>
    </w:p>
    <w:p w14:paraId="48A0D853" w14:textId="2DAE02B8"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709" w:history="1">
        <w:r w:rsidRPr="00DE0347">
          <w:rPr>
            <w:rStyle w:val="Hyperlink"/>
          </w:rPr>
          <w:t>5</w:t>
        </w:r>
        <w:r>
          <w:rPr>
            <w:rFonts w:asciiTheme="minorHAnsi" w:eastAsiaTheme="minorEastAsia" w:hAnsiTheme="minorHAnsi" w:cstheme="minorBidi"/>
            <w:b w:val="0"/>
            <w:sz w:val="22"/>
            <w:szCs w:val="22"/>
            <w:lang w:eastAsia="en-AU"/>
          </w:rPr>
          <w:tab/>
        </w:r>
        <w:r w:rsidRPr="00DE0347">
          <w:rPr>
            <w:rStyle w:val="Hyperlink"/>
          </w:rPr>
          <w:t>Reporting requirements</w:t>
        </w:r>
        <w:r>
          <w:rPr>
            <w:webHidden/>
          </w:rPr>
          <w:tab/>
        </w:r>
        <w:r>
          <w:rPr>
            <w:webHidden/>
          </w:rPr>
          <w:fldChar w:fldCharType="begin"/>
        </w:r>
        <w:r>
          <w:rPr>
            <w:webHidden/>
          </w:rPr>
          <w:instrText xml:space="preserve"> PAGEREF _Toc136955709 \h </w:instrText>
        </w:r>
        <w:r>
          <w:rPr>
            <w:webHidden/>
          </w:rPr>
        </w:r>
        <w:r>
          <w:rPr>
            <w:webHidden/>
          </w:rPr>
          <w:fldChar w:fldCharType="separate"/>
        </w:r>
        <w:r>
          <w:rPr>
            <w:webHidden/>
          </w:rPr>
          <w:t>11</w:t>
        </w:r>
        <w:r>
          <w:rPr>
            <w:webHidden/>
          </w:rPr>
          <w:fldChar w:fldCharType="end"/>
        </w:r>
      </w:hyperlink>
    </w:p>
    <w:p w14:paraId="5D97B720" w14:textId="23F4A494"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0" w:history="1">
        <w:r w:rsidRPr="00DE0347">
          <w:rPr>
            <w:rStyle w:val="Hyperlink"/>
          </w:rPr>
          <w:t>5.1</w:t>
        </w:r>
        <w:r>
          <w:rPr>
            <w:rFonts w:asciiTheme="minorHAnsi" w:eastAsiaTheme="minorEastAsia" w:hAnsiTheme="minorHAnsi" w:cstheme="minorBidi"/>
            <w:sz w:val="22"/>
            <w:szCs w:val="22"/>
            <w:lang w:eastAsia="en-AU"/>
          </w:rPr>
          <w:tab/>
        </w:r>
        <w:r w:rsidRPr="00DE0347">
          <w:rPr>
            <w:rStyle w:val="Hyperlink"/>
          </w:rPr>
          <w:t>The nature and frequency of reporting</w:t>
        </w:r>
        <w:r>
          <w:rPr>
            <w:webHidden/>
          </w:rPr>
          <w:tab/>
        </w:r>
        <w:r>
          <w:rPr>
            <w:webHidden/>
          </w:rPr>
          <w:fldChar w:fldCharType="begin"/>
        </w:r>
        <w:r>
          <w:rPr>
            <w:webHidden/>
          </w:rPr>
          <w:instrText xml:space="preserve"> PAGEREF _Toc136955710 \h </w:instrText>
        </w:r>
        <w:r>
          <w:rPr>
            <w:webHidden/>
          </w:rPr>
        </w:r>
        <w:r>
          <w:rPr>
            <w:webHidden/>
          </w:rPr>
          <w:fldChar w:fldCharType="separate"/>
        </w:r>
        <w:r>
          <w:rPr>
            <w:webHidden/>
          </w:rPr>
          <w:t>11</w:t>
        </w:r>
        <w:r>
          <w:rPr>
            <w:webHidden/>
          </w:rPr>
          <w:fldChar w:fldCharType="end"/>
        </w:r>
      </w:hyperlink>
    </w:p>
    <w:p w14:paraId="205931B3" w14:textId="522D6723"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711" w:history="1">
        <w:r w:rsidRPr="00DE0347">
          <w:rPr>
            <w:rStyle w:val="Hyperlink"/>
          </w:rPr>
          <w:t>6</w:t>
        </w:r>
        <w:r>
          <w:rPr>
            <w:rFonts w:asciiTheme="minorHAnsi" w:eastAsiaTheme="minorEastAsia" w:hAnsiTheme="minorHAnsi" w:cstheme="minorBidi"/>
            <w:b w:val="0"/>
            <w:sz w:val="22"/>
            <w:szCs w:val="22"/>
            <w:lang w:eastAsia="en-AU"/>
          </w:rPr>
          <w:tab/>
        </w:r>
        <w:r w:rsidRPr="00DE0347">
          <w:rPr>
            <w:rStyle w:val="Hyperlink"/>
          </w:rPr>
          <w:t>Acknowledgement</w:t>
        </w:r>
        <w:r>
          <w:rPr>
            <w:webHidden/>
          </w:rPr>
          <w:tab/>
        </w:r>
        <w:r>
          <w:rPr>
            <w:webHidden/>
          </w:rPr>
          <w:fldChar w:fldCharType="begin"/>
        </w:r>
        <w:r>
          <w:rPr>
            <w:webHidden/>
          </w:rPr>
          <w:instrText xml:space="preserve"> PAGEREF _Toc136955711 \h </w:instrText>
        </w:r>
        <w:r>
          <w:rPr>
            <w:webHidden/>
          </w:rPr>
        </w:r>
        <w:r>
          <w:rPr>
            <w:webHidden/>
          </w:rPr>
          <w:fldChar w:fldCharType="separate"/>
        </w:r>
        <w:r>
          <w:rPr>
            <w:webHidden/>
          </w:rPr>
          <w:t>12</w:t>
        </w:r>
        <w:r>
          <w:rPr>
            <w:webHidden/>
          </w:rPr>
          <w:fldChar w:fldCharType="end"/>
        </w:r>
      </w:hyperlink>
    </w:p>
    <w:p w14:paraId="18D46929" w14:textId="648FA0DD"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2" w:history="1">
        <w:r w:rsidRPr="00DE0347">
          <w:rPr>
            <w:rStyle w:val="Hyperlink"/>
          </w:rPr>
          <w:t>6.1</w:t>
        </w:r>
        <w:r>
          <w:rPr>
            <w:rFonts w:asciiTheme="minorHAnsi" w:eastAsiaTheme="minorEastAsia" w:hAnsiTheme="minorHAnsi" w:cstheme="minorBidi"/>
            <w:sz w:val="22"/>
            <w:szCs w:val="22"/>
            <w:lang w:eastAsia="en-AU"/>
          </w:rPr>
          <w:tab/>
        </w:r>
        <w:r w:rsidRPr="00DE0347">
          <w:rPr>
            <w:rStyle w:val="Hyperlink"/>
          </w:rPr>
          <w:t>Written acknowledgement</w:t>
        </w:r>
        <w:r>
          <w:rPr>
            <w:webHidden/>
          </w:rPr>
          <w:tab/>
        </w:r>
        <w:r>
          <w:rPr>
            <w:webHidden/>
          </w:rPr>
          <w:fldChar w:fldCharType="begin"/>
        </w:r>
        <w:r>
          <w:rPr>
            <w:webHidden/>
          </w:rPr>
          <w:instrText xml:space="preserve"> PAGEREF _Toc136955712 \h </w:instrText>
        </w:r>
        <w:r>
          <w:rPr>
            <w:webHidden/>
          </w:rPr>
        </w:r>
        <w:r>
          <w:rPr>
            <w:webHidden/>
          </w:rPr>
          <w:fldChar w:fldCharType="separate"/>
        </w:r>
        <w:r>
          <w:rPr>
            <w:webHidden/>
          </w:rPr>
          <w:t>12</w:t>
        </w:r>
        <w:r>
          <w:rPr>
            <w:webHidden/>
          </w:rPr>
          <w:fldChar w:fldCharType="end"/>
        </w:r>
      </w:hyperlink>
    </w:p>
    <w:p w14:paraId="27D30829" w14:textId="69A84F32"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3" w:history="1">
        <w:r w:rsidRPr="00DE0347">
          <w:rPr>
            <w:rStyle w:val="Hyperlink"/>
          </w:rPr>
          <w:t>6.2</w:t>
        </w:r>
        <w:r>
          <w:rPr>
            <w:rFonts w:asciiTheme="minorHAnsi" w:eastAsiaTheme="minorEastAsia" w:hAnsiTheme="minorHAnsi" w:cstheme="minorBidi"/>
            <w:sz w:val="22"/>
            <w:szCs w:val="22"/>
            <w:lang w:eastAsia="en-AU"/>
          </w:rPr>
          <w:tab/>
        </w:r>
        <w:r w:rsidRPr="00DE0347">
          <w:rPr>
            <w:rStyle w:val="Hyperlink"/>
          </w:rPr>
          <w:t>The reproduction of logo/s and insignia</w:t>
        </w:r>
        <w:r>
          <w:rPr>
            <w:webHidden/>
          </w:rPr>
          <w:tab/>
        </w:r>
        <w:r>
          <w:rPr>
            <w:webHidden/>
          </w:rPr>
          <w:fldChar w:fldCharType="begin"/>
        </w:r>
        <w:r>
          <w:rPr>
            <w:webHidden/>
          </w:rPr>
          <w:instrText xml:space="preserve"> PAGEREF _Toc136955713 \h </w:instrText>
        </w:r>
        <w:r>
          <w:rPr>
            <w:webHidden/>
          </w:rPr>
        </w:r>
        <w:r>
          <w:rPr>
            <w:webHidden/>
          </w:rPr>
          <w:fldChar w:fldCharType="separate"/>
        </w:r>
        <w:r>
          <w:rPr>
            <w:webHidden/>
          </w:rPr>
          <w:t>12</w:t>
        </w:r>
        <w:r>
          <w:rPr>
            <w:webHidden/>
          </w:rPr>
          <w:fldChar w:fldCharType="end"/>
        </w:r>
      </w:hyperlink>
    </w:p>
    <w:p w14:paraId="65ECE48F" w14:textId="305378EE"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4" w:history="1">
        <w:r w:rsidRPr="00DE0347">
          <w:rPr>
            <w:rStyle w:val="Hyperlink"/>
          </w:rPr>
          <w:t>6.3</w:t>
        </w:r>
        <w:r>
          <w:rPr>
            <w:rFonts w:asciiTheme="minorHAnsi" w:eastAsiaTheme="minorEastAsia" w:hAnsiTheme="minorHAnsi" w:cstheme="minorBidi"/>
            <w:sz w:val="22"/>
            <w:szCs w:val="22"/>
            <w:lang w:eastAsia="en-AU"/>
          </w:rPr>
          <w:tab/>
        </w:r>
        <w:r w:rsidRPr="00DE0347">
          <w:rPr>
            <w:rStyle w:val="Hyperlink"/>
          </w:rPr>
          <w:t>Verbal acknowledgement</w:t>
        </w:r>
        <w:r>
          <w:rPr>
            <w:webHidden/>
          </w:rPr>
          <w:tab/>
        </w:r>
        <w:r>
          <w:rPr>
            <w:webHidden/>
          </w:rPr>
          <w:fldChar w:fldCharType="begin"/>
        </w:r>
        <w:r>
          <w:rPr>
            <w:webHidden/>
          </w:rPr>
          <w:instrText xml:space="preserve"> PAGEREF _Toc136955714 \h </w:instrText>
        </w:r>
        <w:r>
          <w:rPr>
            <w:webHidden/>
          </w:rPr>
        </w:r>
        <w:r>
          <w:rPr>
            <w:webHidden/>
          </w:rPr>
          <w:fldChar w:fldCharType="separate"/>
        </w:r>
        <w:r>
          <w:rPr>
            <w:webHidden/>
          </w:rPr>
          <w:t>13</w:t>
        </w:r>
        <w:r>
          <w:rPr>
            <w:webHidden/>
          </w:rPr>
          <w:fldChar w:fldCharType="end"/>
        </w:r>
      </w:hyperlink>
    </w:p>
    <w:p w14:paraId="4C092FB8" w14:textId="1558F6E3"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5" w:history="1">
        <w:r w:rsidRPr="00DE0347">
          <w:rPr>
            <w:rStyle w:val="Hyperlink"/>
          </w:rPr>
          <w:t>6.4</w:t>
        </w:r>
        <w:r>
          <w:rPr>
            <w:rFonts w:asciiTheme="minorHAnsi" w:eastAsiaTheme="minorEastAsia" w:hAnsiTheme="minorHAnsi" w:cstheme="minorBidi"/>
            <w:sz w:val="22"/>
            <w:szCs w:val="22"/>
            <w:lang w:eastAsia="en-AU"/>
          </w:rPr>
          <w:tab/>
        </w:r>
        <w:r w:rsidRPr="00DE0347">
          <w:rPr>
            <w:rStyle w:val="Hyperlink"/>
          </w:rPr>
          <w:t>Additional acknowledgement obligations</w:t>
        </w:r>
        <w:r>
          <w:rPr>
            <w:webHidden/>
          </w:rPr>
          <w:tab/>
        </w:r>
        <w:r>
          <w:rPr>
            <w:webHidden/>
          </w:rPr>
          <w:fldChar w:fldCharType="begin"/>
        </w:r>
        <w:r>
          <w:rPr>
            <w:webHidden/>
          </w:rPr>
          <w:instrText xml:space="preserve"> PAGEREF _Toc136955715 \h </w:instrText>
        </w:r>
        <w:r>
          <w:rPr>
            <w:webHidden/>
          </w:rPr>
        </w:r>
        <w:r>
          <w:rPr>
            <w:webHidden/>
          </w:rPr>
          <w:fldChar w:fldCharType="separate"/>
        </w:r>
        <w:r>
          <w:rPr>
            <w:webHidden/>
          </w:rPr>
          <w:t>13</w:t>
        </w:r>
        <w:r>
          <w:rPr>
            <w:webHidden/>
          </w:rPr>
          <w:fldChar w:fldCharType="end"/>
        </w:r>
      </w:hyperlink>
    </w:p>
    <w:p w14:paraId="177883A8" w14:textId="614A0E8D"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716" w:history="1">
        <w:r w:rsidRPr="00DE0347">
          <w:rPr>
            <w:rStyle w:val="Hyperlink"/>
          </w:rPr>
          <w:t>7</w:t>
        </w:r>
        <w:r>
          <w:rPr>
            <w:rFonts w:asciiTheme="minorHAnsi" w:eastAsiaTheme="minorEastAsia" w:hAnsiTheme="minorHAnsi" w:cstheme="minorBidi"/>
            <w:b w:val="0"/>
            <w:sz w:val="22"/>
            <w:szCs w:val="22"/>
            <w:lang w:eastAsia="en-AU"/>
          </w:rPr>
          <w:tab/>
        </w:r>
        <w:r w:rsidRPr="00DE0347">
          <w:rPr>
            <w:rStyle w:val="Hyperlink"/>
          </w:rPr>
          <w:t>Administration of funds</w:t>
        </w:r>
        <w:r>
          <w:rPr>
            <w:webHidden/>
          </w:rPr>
          <w:tab/>
        </w:r>
        <w:r>
          <w:rPr>
            <w:webHidden/>
          </w:rPr>
          <w:fldChar w:fldCharType="begin"/>
        </w:r>
        <w:r>
          <w:rPr>
            <w:webHidden/>
          </w:rPr>
          <w:instrText xml:space="preserve"> PAGEREF _Toc136955716 \h </w:instrText>
        </w:r>
        <w:r>
          <w:rPr>
            <w:webHidden/>
          </w:rPr>
        </w:r>
        <w:r>
          <w:rPr>
            <w:webHidden/>
          </w:rPr>
          <w:fldChar w:fldCharType="separate"/>
        </w:r>
        <w:r>
          <w:rPr>
            <w:webHidden/>
          </w:rPr>
          <w:t>13</w:t>
        </w:r>
        <w:r>
          <w:rPr>
            <w:webHidden/>
          </w:rPr>
          <w:fldChar w:fldCharType="end"/>
        </w:r>
      </w:hyperlink>
    </w:p>
    <w:p w14:paraId="055F8765" w14:textId="5A90EEF6"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7" w:history="1">
        <w:r w:rsidRPr="00DE0347">
          <w:rPr>
            <w:rStyle w:val="Hyperlink"/>
          </w:rPr>
          <w:t>7.1</w:t>
        </w:r>
        <w:r>
          <w:rPr>
            <w:rFonts w:asciiTheme="minorHAnsi" w:eastAsiaTheme="minorEastAsia" w:hAnsiTheme="minorHAnsi" w:cstheme="minorBidi"/>
            <w:sz w:val="22"/>
            <w:szCs w:val="22"/>
            <w:lang w:eastAsia="en-AU"/>
          </w:rPr>
          <w:tab/>
        </w:r>
        <w:r w:rsidRPr="00DE0347">
          <w:rPr>
            <w:rStyle w:val="Hyperlink"/>
          </w:rPr>
          <w:t>Legal agreements for the release of funding</w:t>
        </w:r>
        <w:r>
          <w:rPr>
            <w:webHidden/>
          </w:rPr>
          <w:tab/>
        </w:r>
        <w:r>
          <w:rPr>
            <w:webHidden/>
          </w:rPr>
          <w:fldChar w:fldCharType="begin"/>
        </w:r>
        <w:r>
          <w:rPr>
            <w:webHidden/>
          </w:rPr>
          <w:instrText xml:space="preserve"> PAGEREF _Toc136955717 \h </w:instrText>
        </w:r>
        <w:r>
          <w:rPr>
            <w:webHidden/>
          </w:rPr>
        </w:r>
        <w:r>
          <w:rPr>
            <w:webHidden/>
          </w:rPr>
          <w:fldChar w:fldCharType="separate"/>
        </w:r>
        <w:r>
          <w:rPr>
            <w:webHidden/>
          </w:rPr>
          <w:t>13</w:t>
        </w:r>
        <w:r>
          <w:rPr>
            <w:webHidden/>
          </w:rPr>
          <w:fldChar w:fldCharType="end"/>
        </w:r>
      </w:hyperlink>
    </w:p>
    <w:p w14:paraId="3CD9EC7B" w14:textId="0FCC48E9"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18" w:history="1">
        <w:r w:rsidRPr="00DE0347">
          <w:rPr>
            <w:rStyle w:val="Hyperlink"/>
          </w:rPr>
          <w:t>7.2</w:t>
        </w:r>
        <w:r>
          <w:rPr>
            <w:rFonts w:asciiTheme="minorHAnsi" w:eastAsiaTheme="minorEastAsia" w:hAnsiTheme="minorHAnsi" w:cstheme="minorBidi"/>
            <w:sz w:val="22"/>
            <w:szCs w:val="22"/>
            <w:lang w:eastAsia="en-AU"/>
          </w:rPr>
          <w:tab/>
        </w:r>
        <w:r w:rsidRPr="00DE0347">
          <w:rPr>
            <w:rStyle w:val="Hyperlink"/>
          </w:rPr>
          <w:t>Administration of funding</w:t>
        </w:r>
        <w:r>
          <w:rPr>
            <w:webHidden/>
          </w:rPr>
          <w:tab/>
        </w:r>
        <w:r>
          <w:rPr>
            <w:webHidden/>
          </w:rPr>
          <w:fldChar w:fldCharType="begin"/>
        </w:r>
        <w:r>
          <w:rPr>
            <w:webHidden/>
          </w:rPr>
          <w:instrText xml:space="preserve"> PAGEREF _Toc136955718 \h </w:instrText>
        </w:r>
        <w:r>
          <w:rPr>
            <w:webHidden/>
          </w:rPr>
        </w:r>
        <w:r>
          <w:rPr>
            <w:webHidden/>
          </w:rPr>
          <w:fldChar w:fldCharType="separate"/>
        </w:r>
        <w:r>
          <w:rPr>
            <w:webHidden/>
          </w:rPr>
          <w:t>13</w:t>
        </w:r>
        <w:r>
          <w:rPr>
            <w:webHidden/>
          </w:rPr>
          <w:fldChar w:fldCharType="end"/>
        </w:r>
      </w:hyperlink>
    </w:p>
    <w:p w14:paraId="0F520CC5" w14:textId="0B1D21CB" w:rsidR="003B5AA4" w:rsidRDefault="003B5AA4">
      <w:pPr>
        <w:pStyle w:val="TOC1"/>
        <w:tabs>
          <w:tab w:val="left" w:pos="567"/>
        </w:tabs>
        <w:rPr>
          <w:rFonts w:asciiTheme="minorHAnsi" w:eastAsiaTheme="minorEastAsia" w:hAnsiTheme="minorHAnsi" w:cstheme="minorBidi"/>
          <w:b w:val="0"/>
          <w:sz w:val="22"/>
          <w:szCs w:val="22"/>
          <w:lang w:eastAsia="en-AU"/>
        </w:rPr>
      </w:pPr>
      <w:hyperlink w:anchor="_Toc136955719" w:history="1">
        <w:r w:rsidRPr="00DE0347">
          <w:rPr>
            <w:rStyle w:val="Hyperlink"/>
          </w:rPr>
          <w:t xml:space="preserve">8 </w:t>
        </w:r>
        <w:r>
          <w:rPr>
            <w:rFonts w:asciiTheme="minorHAnsi" w:eastAsiaTheme="minorEastAsia" w:hAnsiTheme="minorHAnsi" w:cstheme="minorBidi"/>
            <w:b w:val="0"/>
            <w:sz w:val="22"/>
            <w:szCs w:val="22"/>
            <w:lang w:eastAsia="en-AU"/>
          </w:rPr>
          <w:tab/>
        </w:r>
        <w:r w:rsidRPr="00DE0347">
          <w:rPr>
            <w:rStyle w:val="Hyperlink"/>
          </w:rPr>
          <w:t>Administering Organisations policy</w:t>
        </w:r>
        <w:r>
          <w:rPr>
            <w:webHidden/>
          </w:rPr>
          <w:tab/>
        </w:r>
        <w:r>
          <w:rPr>
            <w:webHidden/>
          </w:rPr>
          <w:fldChar w:fldCharType="begin"/>
        </w:r>
        <w:r>
          <w:rPr>
            <w:webHidden/>
          </w:rPr>
          <w:instrText xml:space="preserve"> PAGEREF _Toc136955719 \h </w:instrText>
        </w:r>
        <w:r>
          <w:rPr>
            <w:webHidden/>
          </w:rPr>
        </w:r>
        <w:r>
          <w:rPr>
            <w:webHidden/>
          </w:rPr>
          <w:fldChar w:fldCharType="separate"/>
        </w:r>
        <w:r>
          <w:rPr>
            <w:webHidden/>
          </w:rPr>
          <w:t>13</w:t>
        </w:r>
        <w:r>
          <w:rPr>
            <w:webHidden/>
          </w:rPr>
          <w:fldChar w:fldCharType="end"/>
        </w:r>
      </w:hyperlink>
    </w:p>
    <w:p w14:paraId="59C08C20" w14:textId="0109EF66"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20" w:history="1">
        <w:r w:rsidRPr="00DE0347">
          <w:rPr>
            <w:rStyle w:val="Hyperlink"/>
          </w:rPr>
          <w:t>8.1</w:t>
        </w:r>
        <w:r>
          <w:rPr>
            <w:rFonts w:asciiTheme="minorHAnsi" w:eastAsiaTheme="minorEastAsia" w:hAnsiTheme="minorHAnsi" w:cstheme="minorBidi"/>
            <w:sz w:val="22"/>
            <w:szCs w:val="22"/>
            <w:lang w:eastAsia="en-AU"/>
          </w:rPr>
          <w:tab/>
        </w:r>
        <w:r w:rsidRPr="00DE0347">
          <w:rPr>
            <w:rStyle w:val="Hyperlink"/>
          </w:rPr>
          <w:t>Role of Administering Organisations</w:t>
        </w:r>
        <w:r>
          <w:rPr>
            <w:webHidden/>
          </w:rPr>
          <w:tab/>
        </w:r>
        <w:r>
          <w:rPr>
            <w:webHidden/>
          </w:rPr>
          <w:fldChar w:fldCharType="begin"/>
        </w:r>
        <w:r>
          <w:rPr>
            <w:webHidden/>
          </w:rPr>
          <w:instrText xml:space="preserve"> PAGEREF _Toc136955720 \h </w:instrText>
        </w:r>
        <w:r>
          <w:rPr>
            <w:webHidden/>
          </w:rPr>
        </w:r>
        <w:r>
          <w:rPr>
            <w:webHidden/>
          </w:rPr>
          <w:fldChar w:fldCharType="separate"/>
        </w:r>
        <w:r>
          <w:rPr>
            <w:webHidden/>
          </w:rPr>
          <w:t>13</w:t>
        </w:r>
        <w:r>
          <w:rPr>
            <w:webHidden/>
          </w:rPr>
          <w:fldChar w:fldCharType="end"/>
        </w:r>
      </w:hyperlink>
    </w:p>
    <w:p w14:paraId="4ACC880F" w14:textId="751C64EA"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21" w:history="1">
        <w:r w:rsidRPr="00DE0347">
          <w:rPr>
            <w:rStyle w:val="Hyperlink"/>
          </w:rPr>
          <w:t>8.2</w:t>
        </w:r>
        <w:r>
          <w:rPr>
            <w:rFonts w:asciiTheme="minorHAnsi" w:eastAsiaTheme="minorEastAsia" w:hAnsiTheme="minorHAnsi" w:cstheme="minorBidi"/>
            <w:sz w:val="22"/>
            <w:szCs w:val="22"/>
            <w:lang w:eastAsia="en-AU"/>
          </w:rPr>
          <w:tab/>
        </w:r>
        <w:r w:rsidRPr="00DE0347">
          <w:rPr>
            <w:rStyle w:val="Hyperlink"/>
          </w:rPr>
          <w:t>Obligations of Administering Organisations</w:t>
        </w:r>
        <w:r>
          <w:rPr>
            <w:webHidden/>
          </w:rPr>
          <w:tab/>
        </w:r>
        <w:r>
          <w:rPr>
            <w:webHidden/>
          </w:rPr>
          <w:fldChar w:fldCharType="begin"/>
        </w:r>
        <w:r>
          <w:rPr>
            <w:webHidden/>
          </w:rPr>
          <w:instrText xml:space="preserve"> PAGEREF _Toc136955721 \h </w:instrText>
        </w:r>
        <w:r>
          <w:rPr>
            <w:webHidden/>
          </w:rPr>
        </w:r>
        <w:r>
          <w:rPr>
            <w:webHidden/>
          </w:rPr>
          <w:fldChar w:fldCharType="separate"/>
        </w:r>
        <w:r>
          <w:rPr>
            <w:webHidden/>
          </w:rPr>
          <w:t>14</w:t>
        </w:r>
        <w:r>
          <w:rPr>
            <w:webHidden/>
          </w:rPr>
          <w:fldChar w:fldCharType="end"/>
        </w:r>
      </w:hyperlink>
    </w:p>
    <w:p w14:paraId="238C7886" w14:textId="4A00EC4B" w:rsidR="003B5AA4" w:rsidRDefault="003B5AA4">
      <w:pPr>
        <w:pStyle w:val="TOC2"/>
        <w:tabs>
          <w:tab w:val="left" w:pos="567"/>
        </w:tabs>
        <w:rPr>
          <w:rFonts w:asciiTheme="minorHAnsi" w:eastAsiaTheme="minorEastAsia" w:hAnsiTheme="minorHAnsi" w:cstheme="minorBidi"/>
          <w:sz w:val="22"/>
          <w:szCs w:val="22"/>
          <w:lang w:eastAsia="en-AU"/>
        </w:rPr>
      </w:pPr>
      <w:hyperlink w:anchor="_Toc136955722" w:history="1">
        <w:r w:rsidRPr="00DE0347">
          <w:rPr>
            <w:rStyle w:val="Hyperlink"/>
          </w:rPr>
          <w:t>8.3</w:t>
        </w:r>
        <w:r>
          <w:rPr>
            <w:rFonts w:asciiTheme="minorHAnsi" w:eastAsiaTheme="minorEastAsia" w:hAnsiTheme="minorHAnsi" w:cstheme="minorBidi"/>
            <w:sz w:val="22"/>
            <w:szCs w:val="22"/>
            <w:lang w:eastAsia="en-AU"/>
          </w:rPr>
          <w:tab/>
        </w:r>
        <w:r w:rsidRPr="00DE0347">
          <w:rPr>
            <w:rStyle w:val="Hyperlink"/>
          </w:rPr>
          <w:t>Special requirements for collaborative projects or programs</w:t>
        </w:r>
        <w:r>
          <w:rPr>
            <w:webHidden/>
          </w:rPr>
          <w:tab/>
        </w:r>
        <w:r>
          <w:rPr>
            <w:webHidden/>
          </w:rPr>
          <w:fldChar w:fldCharType="begin"/>
        </w:r>
        <w:r>
          <w:rPr>
            <w:webHidden/>
          </w:rPr>
          <w:instrText xml:space="preserve"> PAGEREF _Toc136955722 \h </w:instrText>
        </w:r>
        <w:r>
          <w:rPr>
            <w:webHidden/>
          </w:rPr>
        </w:r>
        <w:r>
          <w:rPr>
            <w:webHidden/>
          </w:rPr>
          <w:fldChar w:fldCharType="separate"/>
        </w:r>
        <w:r>
          <w:rPr>
            <w:webHidden/>
          </w:rPr>
          <w:t>14</w:t>
        </w:r>
        <w:r>
          <w:rPr>
            <w:webHidden/>
          </w:rPr>
          <w:fldChar w:fldCharType="end"/>
        </w:r>
      </w:hyperlink>
    </w:p>
    <w:p w14:paraId="5EF874AF" w14:textId="54DBFF48" w:rsidR="003B5AA4" w:rsidRDefault="003B5AA4">
      <w:pPr>
        <w:pStyle w:val="TOC1"/>
        <w:rPr>
          <w:rFonts w:asciiTheme="minorHAnsi" w:eastAsiaTheme="minorEastAsia" w:hAnsiTheme="minorHAnsi" w:cstheme="minorBidi"/>
          <w:b w:val="0"/>
          <w:sz w:val="22"/>
          <w:szCs w:val="22"/>
          <w:lang w:eastAsia="en-AU"/>
        </w:rPr>
      </w:pPr>
      <w:hyperlink w:anchor="_Toc136955723" w:history="1">
        <w:r w:rsidRPr="00DE0347">
          <w:rPr>
            <w:rStyle w:val="Hyperlink"/>
          </w:rPr>
          <w:t>Appendix 1 – Principles of Victorian Cancer Agency supported research</w:t>
        </w:r>
        <w:r>
          <w:rPr>
            <w:webHidden/>
          </w:rPr>
          <w:tab/>
        </w:r>
        <w:r>
          <w:rPr>
            <w:webHidden/>
          </w:rPr>
          <w:fldChar w:fldCharType="begin"/>
        </w:r>
        <w:r>
          <w:rPr>
            <w:webHidden/>
          </w:rPr>
          <w:instrText xml:space="preserve"> PAGEREF _Toc136955723 \h </w:instrText>
        </w:r>
        <w:r>
          <w:rPr>
            <w:webHidden/>
          </w:rPr>
        </w:r>
        <w:r>
          <w:rPr>
            <w:webHidden/>
          </w:rPr>
          <w:fldChar w:fldCharType="separate"/>
        </w:r>
        <w:r>
          <w:rPr>
            <w:webHidden/>
          </w:rPr>
          <w:t>15</w:t>
        </w:r>
        <w:r>
          <w:rPr>
            <w:webHidden/>
          </w:rPr>
          <w:fldChar w:fldCharType="end"/>
        </w:r>
      </w:hyperlink>
    </w:p>
    <w:p w14:paraId="7CA14CC4" w14:textId="3422650D" w:rsidR="003B5AA4" w:rsidRDefault="003B5AA4">
      <w:pPr>
        <w:pStyle w:val="TOC2"/>
        <w:tabs>
          <w:tab w:val="left" w:pos="800"/>
        </w:tabs>
        <w:rPr>
          <w:rFonts w:asciiTheme="minorHAnsi" w:eastAsiaTheme="minorEastAsia" w:hAnsiTheme="minorHAnsi" w:cstheme="minorBidi"/>
          <w:sz w:val="22"/>
          <w:szCs w:val="22"/>
          <w:lang w:eastAsia="en-AU"/>
        </w:rPr>
      </w:pPr>
      <w:hyperlink w:anchor="_Toc136955724" w:history="1">
        <w:r w:rsidRPr="00DE0347">
          <w:rPr>
            <w:rStyle w:val="Hyperlink"/>
          </w:rPr>
          <w:t>A1.1</w:t>
        </w:r>
        <w:r>
          <w:rPr>
            <w:rFonts w:asciiTheme="minorHAnsi" w:eastAsiaTheme="minorEastAsia" w:hAnsiTheme="minorHAnsi" w:cstheme="minorBidi"/>
            <w:sz w:val="22"/>
            <w:szCs w:val="22"/>
            <w:lang w:eastAsia="en-AU"/>
          </w:rPr>
          <w:tab/>
        </w:r>
        <w:r w:rsidRPr="00DE0347">
          <w:rPr>
            <w:rStyle w:val="Hyperlink"/>
          </w:rPr>
          <w:t>Translational research</w:t>
        </w:r>
        <w:r>
          <w:rPr>
            <w:webHidden/>
          </w:rPr>
          <w:tab/>
        </w:r>
        <w:r>
          <w:rPr>
            <w:webHidden/>
          </w:rPr>
          <w:fldChar w:fldCharType="begin"/>
        </w:r>
        <w:r>
          <w:rPr>
            <w:webHidden/>
          </w:rPr>
          <w:instrText xml:space="preserve"> PAGEREF _Toc136955724 \h </w:instrText>
        </w:r>
        <w:r>
          <w:rPr>
            <w:webHidden/>
          </w:rPr>
        </w:r>
        <w:r>
          <w:rPr>
            <w:webHidden/>
          </w:rPr>
          <w:fldChar w:fldCharType="separate"/>
        </w:r>
        <w:r>
          <w:rPr>
            <w:webHidden/>
          </w:rPr>
          <w:t>15</w:t>
        </w:r>
        <w:r>
          <w:rPr>
            <w:webHidden/>
          </w:rPr>
          <w:fldChar w:fldCharType="end"/>
        </w:r>
      </w:hyperlink>
    </w:p>
    <w:p w14:paraId="530AEA52" w14:textId="4DDD5753" w:rsidR="003B5AA4" w:rsidRDefault="003B5AA4">
      <w:pPr>
        <w:pStyle w:val="TOC2"/>
        <w:tabs>
          <w:tab w:val="left" w:pos="800"/>
        </w:tabs>
        <w:rPr>
          <w:rFonts w:asciiTheme="minorHAnsi" w:eastAsiaTheme="minorEastAsia" w:hAnsiTheme="minorHAnsi" w:cstheme="minorBidi"/>
          <w:sz w:val="22"/>
          <w:szCs w:val="22"/>
          <w:lang w:eastAsia="en-AU"/>
        </w:rPr>
      </w:pPr>
      <w:hyperlink w:anchor="_Toc136955725" w:history="1">
        <w:r w:rsidRPr="00DE0347">
          <w:rPr>
            <w:rStyle w:val="Hyperlink"/>
          </w:rPr>
          <w:t>A1.2</w:t>
        </w:r>
        <w:r>
          <w:rPr>
            <w:rFonts w:asciiTheme="minorHAnsi" w:eastAsiaTheme="minorEastAsia" w:hAnsiTheme="minorHAnsi" w:cstheme="minorBidi"/>
            <w:sz w:val="22"/>
            <w:szCs w:val="22"/>
            <w:lang w:eastAsia="en-AU"/>
          </w:rPr>
          <w:tab/>
        </w:r>
        <w:r w:rsidRPr="00DE0347">
          <w:rPr>
            <w:rStyle w:val="Hyperlink"/>
          </w:rPr>
          <w:t>Collaboration</w:t>
        </w:r>
        <w:r>
          <w:rPr>
            <w:webHidden/>
          </w:rPr>
          <w:tab/>
        </w:r>
        <w:r>
          <w:rPr>
            <w:webHidden/>
          </w:rPr>
          <w:fldChar w:fldCharType="begin"/>
        </w:r>
        <w:r>
          <w:rPr>
            <w:webHidden/>
          </w:rPr>
          <w:instrText xml:space="preserve"> PAGEREF _Toc136955725 \h </w:instrText>
        </w:r>
        <w:r>
          <w:rPr>
            <w:webHidden/>
          </w:rPr>
        </w:r>
        <w:r>
          <w:rPr>
            <w:webHidden/>
          </w:rPr>
          <w:fldChar w:fldCharType="separate"/>
        </w:r>
        <w:r>
          <w:rPr>
            <w:webHidden/>
          </w:rPr>
          <w:t>16</w:t>
        </w:r>
        <w:r>
          <w:rPr>
            <w:webHidden/>
          </w:rPr>
          <w:fldChar w:fldCharType="end"/>
        </w:r>
      </w:hyperlink>
    </w:p>
    <w:p w14:paraId="64CC3403" w14:textId="3A4AD56F" w:rsidR="003B5AA4" w:rsidRDefault="003B5AA4">
      <w:pPr>
        <w:pStyle w:val="TOC2"/>
        <w:tabs>
          <w:tab w:val="left" w:pos="800"/>
        </w:tabs>
        <w:rPr>
          <w:rFonts w:asciiTheme="minorHAnsi" w:eastAsiaTheme="minorEastAsia" w:hAnsiTheme="minorHAnsi" w:cstheme="minorBidi"/>
          <w:sz w:val="22"/>
          <w:szCs w:val="22"/>
          <w:lang w:eastAsia="en-AU"/>
        </w:rPr>
      </w:pPr>
      <w:hyperlink w:anchor="_Toc136955726" w:history="1">
        <w:r w:rsidRPr="00DE0347">
          <w:rPr>
            <w:rStyle w:val="Hyperlink"/>
          </w:rPr>
          <w:t>A1.3</w:t>
        </w:r>
        <w:r>
          <w:rPr>
            <w:rFonts w:asciiTheme="minorHAnsi" w:eastAsiaTheme="minorEastAsia" w:hAnsiTheme="minorHAnsi" w:cstheme="minorBidi"/>
            <w:sz w:val="22"/>
            <w:szCs w:val="22"/>
            <w:lang w:eastAsia="en-AU"/>
          </w:rPr>
          <w:tab/>
        </w:r>
        <w:r w:rsidRPr="00DE0347">
          <w:rPr>
            <w:rStyle w:val="Hyperlink"/>
          </w:rPr>
          <w:t>Consumer and community engagement</w:t>
        </w:r>
        <w:r>
          <w:rPr>
            <w:webHidden/>
          </w:rPr>
          <w:tab/>
        </w:r>
        <w:r>
          <w:rPr>
            <w:webHidden/>
          </w:rPr>
          <w:fldChar w:fldCharType="begin"/>
        </w:r>
        <w:r>
          <w:rPr>
            <w:webHidden/>
          </w:rPr>
          <w:instrText xml:space="preserve"> PAGEREF _Toc136955726 \h </w:instrText>
        </w:r>
        <w:r>
          <w:rPr>
            <w:webHidden/>
          </w:rPr>
        </w:r>
        <w:r>
          <w:rPr>
            <w:webHidden/>
          </w:rPr>
          <w:fldChar w:fldCharType="separate"/>
        </w:r>
        <w:r>
          <w:rPr>
            <w:webHidden/>
          </w:rPr>
          <w:t>17</w:t>
        </w:r>
        <w:r>
          <w:rPr>
            <w:webHidden/>
          </w:rPr>
          <w:fldChar w:fldCharType="end"/>
        </w:r>
      </w:hyperlink>
    </w:p>
    <w:p w14:paraId="08F44A55" w14:textId="71865BAD" w:rsidR="003B5AA4" w:rsidRDefault="003B5AA4">
      <w:pPr>
        <w:pStyle w:val="TOC1"/>
        <w:rPr>
          <w:rFonts w:asciiTheme="minorHAnsi" w:eastAsiaTheme="minorEastAsia" w:hAnsiTheme="minorHAnsi" w:cstheme="minorBidi"/>
          <w:b w:val="0"/>
          <w:sz w:val="22"/>
          <w:szCs w:val="22"/>
          <w:lang w:eastAsia="en-AU"/>
        </w:rPr>
      </w:pPr>
      <w:hyperlink w:anchor="_Toc136955727" w:history="1">
        <w:r w:rsidRPr="00DE0347">
          <w:rPr>
            <w:rStyle w:val="Hyperlink"/>
          </w:rPr>
          <w:t xml:space="preserve">Appendix 2 – </w:t>
        </w:r>
        <w:r w:rsidRPr="00DE0347">
          <w:rPr>
            <w:rStyle w:val="Hyperlink"/>
            <w:rFonts w:eastAsia="Arial"/>
          </w:rPr>
          <w:t>Impact of Career Disruption</w:t>
        </w:r>
        <w:r w:rsidRPr="00DE0347">
          <w:rPr>
            <w:rStyle w:val="Hyperlink"/>
          </w:rPr>
          <w:t xml:space="preserve"> Statement and Research Productivity Relative to Opportunity</w:t>
        </w:r>
        <w:r>
          <w:rPr>
            <w:webHidden/>
          </w:rPr>
          <w:tab/>
        </w:r>
        <w:r>
          <w:rPr>
            <w:webHidden/>
          </w:rPr>
          <w:fldChar w:fldCharType="begin"/>
        </w:r>
        <w:r>
          <w:rPr>
            <w:webHidden/>
          </w:rPr>
          <w:instrText xml:space="preserve"> PAGEREF _Toc136955727 \h </w:instrText>
        </w:r>
        <w:r>
          <w:rPr>
            <w:webHidden/>
          </w:rPr>
        </w:r>
        <w:r>
          <w:rPr>
            <w:webHidden/>
          </w:rPr>
          <w:fldChar w:fldCharType="separate"/>
        </w:r>
        <w:r>
          <w:rPr>
            <w:webHidden/>
          </w:rPr>
          <w:t>18</w:t>
        </w:r>
        <w:r>
          <w:rPr>
            <w:webHidden/>
          </w:rPr>
          <w:fldChar w:fldCharType="end"/>
        </w:r>
      </w:hyperlink>
    </w:p>
    <w:p w14:paraId="1ED4604B" w14:textId="705740A9" w:rsidR="003B5AA4" w:rsidRDefault="003B5AA4">
      <w:pPr>
        <w:pStyle w:val="TOC2"/>
        <w:tabs>
          <w:tab w:val="left" w:pos="800"/>
        </w:tabs>
        <w:rPr>
          <w:rFonts w:asciiTheme="minorHAnsi" w:eastAsiaTheme="minorEastAsia" w:hAnsiTheme="minorHAnsi" w:cstheme="minorBidi"/>
          <w:sz w:val="22"/>
          <w:szCs w:val="22"/>
          <w:lang w:eastAsia="en-AU"/>
        </w:rPr>
      </w:pPr>
      <w:hyperlink w:anchor="_Toc136955728" w:history="1">
        <w:r w:rsidRPr="00DE0347">
          <w:rPr>
            <w:rStyle w:val="Hyperlink"/>
          </w:rPr>
          <w:t xml:space="preserve">A2.1 </w:t>
        </w:r>
        <w:r>
          <w:rPr>
            <w:rFonts w:asciiTheme="minorHAnsi" w:eastAsiaTheme="minorEastAsia" w:hAnsiTheme="minorHAnsi" w:cstheme="minorBidi"/>
            <w:sz w:val="22"/>
            <w:szCs w:val="22"/>
            <w:lang w:eastAsia="en-AU"/>
          </w:rPr>
          <w:tab/>
        </w:r>
        <w:r w:rsidRPr="00DE0347">
          <w:rPr>
            <w:rStyle w:val="Hyperlink"/>
          </w:rPr>
          <w:t>Context</w:t>
        </w:r>
        <w:r>
          <w:rPr>
            <w:webHidden/>
          </w:rPr>
          <w:tab/>
        </w:r>
        <w:r>
          <w:rPr>
            <w:webHidden/>
          </w:rPr>
          <w:fldChar w:fldCharType="begin"/>
        </w:r>
        <w:r>
          <w:rPr>
            <w:webHidden/>
          </w:rPr>
          <w:instrText xml:space="preserve"> PAGEREF _Toc136955728 \h </w:instrText>
        </w:r>
        <w:r>
          <w:rPr>
            <w:webHidden/>
          </w:rPr>
        </w:r>
        <w:r>
          <w:rPr>
            <w:webHidden/>
          </w:rPr>
          <w:fldChar w:fldCharType="separate"/>
        </w:r>
        <w:r>
          <w:rPr>
            <w:webHidden/>
          </w:rPr>
          <w:t>18</w:t>
        </w:r>
        <w:r>
          <w:rPr>
            <w:webHidden/>
          </w:rPr>
          <w:fldChar w:fldCharType="end"/>
        </w:r>
      </w:hyperlink>
    </w:p>
    <w:p w14:paraId="547EE6AD" w14:textId="0EA4C8FF" w:rsidR="003B5AA4" w:rsidRDefault="003B5AA4">
      <w:pPr>
        <w:pStyle w:val="TOC2"/>
        <w:tabs>
          <w:tab w:val="left" w:pos="800"/>
        </w:tabs>
        <w:rPr>
          <w:rFonts w:asciiTheme="minorHAnsi" w:eastAsiaTheme="minorEastAsia" w:hAnsiTheme="minorHAnsi" w:cstheme="minorBidi"/>
          <w:sz w:val="22"/>
          <w:szCs w:val="22"/>
          <w:lang w:eastAsia="en-AU"/>
        </w:rPr>
      </w:pPr>
      <w:hyperlink w:anchor="_Toc136955729" w:history="1">
        <w:r w:rsidRPr="00DE0347">
          <w:rPr>
            <w:rStyle w:val="Hyperlink"/>
          </w:rPr>
          <w:t>A2.2</w:t>
        </w:r>
        <w:r>
          <w:rPr>
            <w:rFonts w:asciiTheme="minorHAnsi" w:eastAsiaTheme="minorEastAsia" w:hAnsiTheme="minorHAnsi" w:cstheme="minorBidi"/>
            <w:sz w:val="22"/>
            <w:szCs w:val="22"/>
            <w:lang w:eastAsia="en-AU"/>
          </w:rPr>
          <w:tab/>
        </w:r>
        <w:r w:rsidRPr="00DE0347">
          <w:rPr>
            <w:rStyle w:val="Hyperlink"/>
          </w:rPr>
          <w:t>Principles</w:t>
        </w:r>
        <w:r>
          <w:rPr>
            <w:webHidden/>
          </w:rPr>
          <w:tab/>
        </w:r>
        <w:r>
          <w:rPr>
            <w:webHidden/>
          </w:rPr>
          <w:fldChar w:fldCharType="begin"/>
        </w:r>
        <w:r>
          <w:rPr>
            <w:webHidden/>
          </w:rPr>
          <w:instrText xml:space="preserve"> PAGEREF _Toc136955729 \h </w:instrText>
        </w:r>
        <w:r>
          <w:rPr>
            <w:webHidden/>
          </w:rPr>
        </w:r>
        <w:r>
          <w:rPr>
            <w:webHidden/>
          </w:rPr>
          <w:fldChar w:fldCharType="separate"/>
        </w:r>
        <w:r>
          <w:rPr>
            <w:webHidden/>
          </w:rPr>
          <w:t>18</w:t>
        </w:r>
        <w:r>
          <w:rPr>
            <w:webHidden/>
          </w:rPr>
          <w:fldChar w:fldCharType="end"/>
        </w:r>
      </w:hyperlink>
    </w:p>
    <w:p w14:paraId="236454FD" w14:textId="7D7E81B4" w:rsidR="003B5AA4" w:rsidRDefault="003B5AA4">
      <w:pPr>
        <w:pStyle w:val="TOC2"/>
        <w:tabs>
          <w:tab w:val="left" w:pos="800"/>
        </w:tabs>
        <w:rPr>
          <w:rFonts w:asciiTheme="minorHAnsi" w:eastAsiaTheme="minorEastAsia" w:hAnsiTheme="minorHAnsi" w:cstheme="minorBidi"/>
          <w:sz w:val="22"/>
          <w:szCs w:val="22"/>
          <w:lang w:eastAsia="en-AU"/>
        </w:rPr>
      </w:pPr>
      <w:hyperlink w:anchor="_Toc136955730" w:history="1">
        <w:r w:rsidRPr="00DE0347">
          <w:rPr>
            <w:rStyle w:val="Hyperlink"/>
          </w:rPr>
          <w:t>A2.3</w:t>
        </w:r>
        <w:r>
          <w:rPr>
            <w:rFonts w:asciiTheme="minorHAnsi" w:eastAsiaTheme="minorEastAsia" w:hAnsiTheme="minorHAnsi" w:cstheme="minorBidi"/>
            <w:sz w:val="22"/>
            <w:szCs w:val="22"/>
            <w:lang w:eastAsia="en-AU"/>
          </w:rPr>
          <w:tab/>
        </w:r>
        <w:r w:rsidRPr="00DE0347">
          <w:rPr>
            <w:rStyle w:val="Hyperlink"/>
          </w:rPr>
          <w:t>Guidance for documenting impact of career disruption and research output</w:t>
        </w:r>
        <w:r>
          <w:rPr>
            <w:webHidden/>
          </w:rPr>
          <w:tab/>
        </w:r>
        <w:r>
          <w:rPr>
            <w:webHidden/>
          </w:rPr>
          <w:fldChar w:fldCharType="begin"/>
        </w:r>
        <w:r>
          <w:rPr>
            <w:webHidden/>
          </w:rPr>
          <w:instrText xml:space="preserve"> PAGEREF _Toc136955730 \h </w:instrText>
        </w:r>
        <w:r>
          <w:rPr>
            <w:webHidden/>
          </w:rPr>
        </w:r>
        <w:r>
          <w:rPr>
            <w:webHidden/>
          </w:rPr>
          <w:fldChar w:fldCharType="separate"/>
        </w:r>
        <w:r>
          <w:rPr>
            <w:webHidden/>
          </w:rPr>
          <w:t>19</w:t>
        </w:r>
        <w:r>
          <w:rPr>
            <w:webHidden/>
          </w:rPr>
          <w:fldChar w:fldCharType="end"/>
        </w:r>
      </w:hyperlink>
    </w:p>
    <w:p w14:paraId="52FCE52C" w14:textId="5B1D3517" w:rsidR="003E2E12" w:rsidRPr="003072C6" w:rsidRDefault="00E15DA9" w:rsidP="00213772">
      <w:pPr>
        <w:pStyle w:val="TOC2"/>
        <w:rPr>
          <w:noProof w:val="0"/>
        </w:rPr>
      </w:pPr>
      <w:r w:rsidRPr="003072C6">
        <w:rPr>
          <w:color w:val="2B579A"/>
          <w:shd w:val="clear" w:color="auto" w:fill="E6E6E6"/>
        </w:rPr>
        <w:fldChar w:fldCharType="end"/>
      </w:r>
    </w:p>
    <w:p w14:paraId="4AF0ACA3" w14:textId="77777777" w:rsidR="008E75F4" w:rsidRDefault="008E75F4">
      <w:pPr>
        <w:rPr>
          <w:rFonts w:ascii="Arial" w:eastAsia="Times" w:hAnsi="Arial"/>
        </w:rPr>
      </w:pPr>
      <w:r>
        <w:br w:type="page"/>
      </w:r>
    </w:p>
    <w:p w14:paraId="0E1BD963" w14:textId="3AE70860" w:rsidR="008E75F4" w:rsidRPr="00D22C79" w:rsidRDefault="008E75F4" w:rsidP="008E75F4">
      <w:pPr>
        <w:pStyle w:val="DHHSbody"/>
        <w:rPr>
          <w:i/>
        </w:rPr>
      </w:pPr>
      <w:r w:rsidRPr="00D22C79">
        <w:lastRenderedPageBreak/>
        <w:t xml:space="preserve">This document articulates the Victorian Cancer Agency (VCA)’s general policy in relation to funded research and should be read in conjunction with the specific research obligations of your individual funding agreement. The </w:t>
      </w:r>
      <w:r w:rsidRPr="00D22C79">
        <w:rPr>
          <w:i/>
          <w:iCs/>
        </w:rPr>
        <w:t xml:space="preserve">Victorian Cancer Agency Funding Rules </w:t>
      </w:r>
      <w:r w:rsidRPr="00D22C79">
        <w:t xml:space="preserve">may be updated from time to time. </w:t>
      </w:r>
    </w:p>
    <w:p w14:paraId="5D6F5B38" w14:textId="77777777" w:rsidR="00AC0C3B" w:rsidRPr="00256E7C" w:rsidRDefault="003E2E12" w:rsidP="008E75F4">
      <w:pPr>
        <w:pStyle w:val="DHHSbody"/>
      </w:pPr>
      <w:r w:rsidRPr="00256E7C">
        <w:br w:type="page"/>
      </w:r>
    </w:p>
    <w:p w14:paraId="140B4C49"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107A574D" w14:textId="6719C484" w:rsidR="00003734" w:rsidRPr="00D22C79" w:rsidRDefault="00003734" w:rsidP="008E75F4">
      <w:pPr>
        <w:pStyle w:val="Heading1"/>
      </w:pPr>
      <w:bookmarkStart w:id="0" w:name="_Toc480448531"/>
      <w:bookmarkStart w:id="1" w:name="_Toc508103066"/>
      <w:bookmarkStart w:id="2" w:name="_Toc509303548"/>
      <w:bookmarkStart w:id="3" w:name="_Toc136955685"/>
      <w:r w:rsidRPr="00D22C79">
        <w:lastRenderedPageBreak/>
        <w:t>1</w:t>
      </w:r>
      <w:r w:rsidRPr="00D22C79">
        <w:tab/>
        <w:t>R</w:t>
      </w:r>
      <w:r w:rsidR="009248FE">
        <w:t>esearch policy</w:t>
      </w:r>
      <w:bookmarkEnd w:id="0"/>
      <w:bookmarkEnd w:id="1"/>
      <w:bookmarkEnd w:id="2"/>
      <w:bookmarkEnd w:id="3"/>
    </w:p>
    <w:p w14:paraId="4073E317" w14:textId="66BFB6D1" w:rsidR="00003734" w:rsidRPr="00D22C79" w:rsidRDefault="00003734" w:rsidP="008E75F4">
      <w:pPr>
        <w:pStyle w:val="DHHSbody"/>
      </w:pPr>
      <w:r w:rsidRPr="00D22C79">
        <w:t>The V</w:t>
      </w:r>
      <w:r w:rsidR="00CC178F">
        <w:t>ictorian Cancer Agency (V</w:t>
      </w:r>
      <w:r w:rsidRPr="00D22C79">
        <w:t>CA</w:t>
      </w:r>
      <w:r w:rsidR="00CC178F">
        <w:t>)</w:t>
      </w:r>
      <w:r w:rsidRPr="00D22C79">
        <w:t xml:space="preserve"> expects funded parties to work with, and maintain, a research culture which fosters honesty and integrity. The VCA considers this to include respect for human research participants, animals and the environment, good stewardship of public resources used to conduct research, appropriate acknowledgement of the role of others in research, and the responsible communication and representation of research qualifications, history and results.</w:t>
      </w:r>
    </w:p>
    <w:p w14:paraId="38DBB316" w14:textId="77777777" w:rsidR="00003734" w:rsidRPr="00D22C79" w:rsidRDefault="00003734" w:rsidP="008E75F4">
      <w:pPr>
        <w:pStyle w:val="Heading2"/>
      </w:pPr>
      <w:bookmarkStart w:id="4" w:name="_Toc480448532"/>
      <w:bookmarkStart w:id="5" w:name="_Toc509303549"/>
      <w:bookmarkStart w:id="6" w:name="_Toc136955686"/>
      <w:r w:rsidRPr="00D22C79">
        <w:t>1.1</w:t>
      </w:r>
      <w:r w:rsidRPr="00D22C79">
        <w:tab/>
        <w:t>Responsibilities of Institutions</w:t>
      </w:r>
      <w:bookmarkEnd w:id="4"/>
      <w:bookmarkEnd w:id="5"/>
      <w:bookmarkEnd w:id="6"/>
    </w:p>
    <w:p w14:paraId="5F7222A4" w14:textId="2652191E" w:rsidR="00003734" w:rsidRPr="00D22C79" w:rsidRDefault="00003734" w:rsidP="008E75F4">
      <w:pPr>
        <w:pStyle w:val="DHHSbody"/>
      </w:pPr>
      <w:r w:rsidRPr="00D22C79">
        <w:t xml:space="preserve">The VCA </w:t>
      </w:r>
      <w:r w:rsidR="00511128">
        <w:t>requires</w:t>
      </w:r>
      <w:r w:rsidRPr="00D22C79">
        <w:t xml:space="preserve"> funded parties to adhere to the </w:t>
      </w:r>
      <w:hyperlink r:id="rId14" w:history="1">
        <w:r w:rsidRPr="009B5483">
          <w:rPr>
            <w:rStyle w:val="Hyperlink"/>
            <w:rFonts w:cs="Arial"/>
            <w:i/>
          </w:rPr>
          <w:t>National Statement on Ethical Conduct in Human Research 2007</w:t>
        </w:r>
      </w:hyperlink>
      <w:r>
        <w:rPr>
          <w:rStyle w:val="Hyperlink"/>
          <w:rFonts w:cs="Arial"/>
          <w:i/>
        </w:rPr>
        <w:t xml:space="preserve"> (updated 2018)</w:t>
      </w:r>
      <w:r w:rsidRPr="00D22C79">
        <w:t xml:space="preserve"> </w:t>
      </w:r>
      <w:r w:rsidR="00C66F7A">
        <w:t xml:space="preserve">&lt;https://www.nhmrc.gov.au/about-us/publications/national-statement-ethical-conduct-human-research-2007-updated-2018&gt; </w:t>
      </w:r>
      <w:r w:rsidRPr="00D22C79">
        <w:t xml:space="preserve">and the </w:t>
      </w:r>
      <w:hyperlink r:id="rId15" w:history="1">
        <w:r w:rsidRPr="00D22C79">
          <w:rPr>
            <w:rStyle w:val="Hyperlink"/>
            <w:rFonts w:cs="Arial"/>
            <w:i/>
          </w:rPr>
          <w:t>Australian Code for the Responsible Conduct of Research</w:t>
        </w:r>
      </w:hyperlink>
      <w:r w:rsidRPr="00D22C79">
        <w:t xml:space="preserve"> (</w:t>
      </w:r>
      <w:r w:rsidRPr="003A3835">
        <w:t>National Health and Medical Research Council</w:t>
      </w:r>
      <w:r>
        <w:t xml:space="preserve"> (NHMRC)</w:t>
      </w:r>
      <w:r w:rsidRPr="003A3835">
        <w:t xml:space="preserve"> </w:t>
      </w:r>
      <w:r w:rsidRPr="00D22C79">
        <w:t>20</w:t>
      </w:r>
      <w:r w:rsidR="00B93EF6">
        <w:t>18</w:t>
      </w:r>
      <w:r w:rsidRPr="00D22C79">
        <w:t xml:space="preserve">) </w:t>
      </w:r>
      <w:r w:rsidR="00C66F7A">
        <w:t>&lt;https://www.nhmrc.gov.au/about-us/publications/australian-code-responsible-conduct-research-20</w:t>
      </w:r>
      <w:r w:rsidR="00B93EF6">
        <w:t>18</w:t>
      </w:r>
      <w:r w:rsidR="00C66F7A">
        <w:t xml:space="preserve">&gt; </w:t>
      </w:r>
      <w:r w:rsidRPr="00D22C79">
        <w:t>and considers it the responsibility of funded parties, where appropriate, to:</w:t>
      </w:r>
    </w:p>
    <w:p w14:paraId="38A7CAA4" w14:textId="47655217" w:rsidR="00003734" w:rsidRPr="00D22C79" w:rsidRDefault="00D93E33" w:rsidP="009248FE">
      <w:pPr>
        <w:pStyle w:val="DHHSbullet1"/>
      </w:pPr>
      <w:r>
        <w:t>P</w:t>
      </w:r>
      <w:r w:rsidR="00003734" w:rsidRPr="00D22C79">
        <w:t xml:space="preserve">romote the responsible conduct of research, including the appropriate management of intellectual property, research data and primary materials, and </w:t>
      </w:r>
      <w:r w:rsidR="00CC178F">
        <w:t xml:space="preserve">give </w:t>
      </w:r>
      <w:r w:rsidR="00003734" w:rsidRPr="00D22C79">
        <w:t xml:space="preserve">due consideration to the Commercialisation Guidelines contained </w:t>
      </w:r>
      <w:r w:rsidR="00DF204D">
        <w:t xml:space="preserve">in </w:t>
      </w:r>
      <w:r w:rsidR="00003734">
        <w:t>these Funding Rules</w:t>
      </w:r>
    </w:p>
    <w:p w14:paraId="1815BFFC" w14:textId="681CAE47" w:rsidR="00003734" w:rsidRPr="00D22C79" w:rsidRDefault="00D93E33" w:rsidP="009248FE">
      <w:pPr>
        <w:pStyle w:val="DHHSbullet1"/>
      </w:pPr>
      <w:r>
        <w:t>E</w:t>
      </w:r>
      <w:r w:rsidR="00003734" w:rsidRPr="00D22C79">
        <w:t>stablish good gove</w:t>
      </w:r>
      <w:r w:rsidR="00003734">
        <w:t>rnance and management practices</w:t>
      </w:r>
    </w:p>
    <w:p w14:paraId="1572E830" w14:textId="30AE2C0E" w:rsidR="00003734" w:rsidRPr="00D22C79" w:rsidRDefault="00D93E33" w:rsidP="009248FE">
      <w:pPr>
        <w:pStyle w:val="DHHSbullet1"/>
      </w:pPr>
      <w:r>
        <w:t>A</w:t>
      </w:r>
      <w:r w:rsidR="00003734">
        <w:t>ppropriately train staff</w:t>
      </w:r>
    </w:p>
    <w:p w14:paraId="74423168" w14:textId="465FFE77" w:rsidR="00003734" w:rsidRPr="00D22C79" w:rsidRDefault="00D93E33" w:rsidP="009248FE">
      <w:pPr>
        <w:pStyle w:val="DHHSbullet1"/>
      </w:pPr>
      <w:r>
        <w:t>P</w:t>
      </w:r>
      <w:r w:rsidR="00003734" w:rsidRPr="00D22C79">
        <w:t>romote mentoring and encourage the open excha</w:t>
      </w:r>
      <w:r w:rsidR="00003734">
        <w:t>nge of ideas between peers</w:t>
      </w:r>
    </w:p>
    <w:p w14:paraId="1BC7C84E" w14:textId="3204A549" w:rsidR="006D2C69" w:rsidRPr="00D93E33" w:rsidRDefault="00D93E33" w:rsidP="00D93E33">
      <w:pPr>
        <w:pStyle w:val="DHHSbullet1"/>
      </w:pPr>
      <w:r>
        <w:t>E</w:t>
      </w:r>
      <w:r w:rsidR="00003734" w:rsidRPr="00D22C79">
        <w:t>nsure a safe research environment</w:t>
      </w:r>
      <w:r>
        <w:t xml:space="preserve"> and </w:t>
      </w:r>
      <w:r w:rsidR="001B1261">
        <w:t>e</w:t>
      </w:r>
      <w:r w:rsidR="00BA2DF5">
        <w:t>ncourage a gender-equal workforce that supports the retention and progression of women</w:t>
      </w:r>
      <w:r w:rsidR="00B02212">
        <w:t>,</w:t>
      </w:r>
      <w:r w:rsidR="00BA2DF5">
        <w:t xml:space="preserve"> refer to the </w:t>
      </w:r>
      <w:hyperlink r:id="rId16" w:history="1">
        <w:r w:rsidR="006D2C69" w:rsidRPr="00990C51">
          <w:rPr>
            <w:rStyle w:val="Hyperlink"/>
          </w:rPr>
          <w:t>NHMRC Gender Equity Strategy 2022-2025</w:t>
        </w:r>
      </w:hyperlink>
      <w:r w:rsidR="00BA2DF5">
        <w:t xml:space="preserve"> </w:t>
      </w:r>
      <w:r w:rsidR="006D2C69">
        <w:t>&lt;</w:t>
      </w:r>
      <w:r w:rsidR="006D2C69" w:rsidRPr="00B76B2D">
        <w:t>https://www.nhmrc.gov.au/research-policy/gender-equity/nhmrc-gender-equity-strategy-2022-2025</w:t>
      </w:r>
      <w:r w:rsidR="006D2C69" w:rsidRPr="00D93E33">
        <w:rPr>
          <w:rStyle w:val="Hyperlink"/>
          <w:color w:val="auto"/>
        </w:rPr>
        <w:t>&gt;</w:t>
      </w:r>
    </w:p>
    <w:p w14:paraId="66096430" w14:textId="429A0FBC" w:rsidR="00003734" w:rsidRPr="00D22C79" w:rsidRDefault="00003734" w:rsidP="008E75F4">
      <w:pPr>
        <w:pStyle w:val="Heading2"/>
      </w:pPr>
      <w:bookmarkStart w:id="7" w:name="_Toc480448533"/>
      <w:bookmarkStart w:id="8" w:name="_Toc509303550"/>
      <w:bookmarkStart w:id="9" w:name="_Toc136955687"/>
      <w:r>
        <w:t>1.2</w:t>
      </w:r>
      <w:r w:rsidRPr="00D22C79">
        <w:tab/>
        <w:t xml:space="preserve">Responsibilities of </w:t>
      </w:r>
      <w:r w:rsidR="009248FE">
        <w:t>r</w:t>
      </w:r>
      <w:r w:rsidRPr="00D22C79">
        <w:t xml:space="preserve">esearchers and </w:t>
      </w:r>
      <w:r w:rsidR="009248FE">
        <w:t>s</w:t>
      </w:r>
      <w:r w:rsidRPr="00D22C79">
        <w:t xml:space="preserve">upervisors of </w:t>
      </w:r>
      <w:r w:rsidR="009248FE">
        <w:t>r</w:t>
      </w:r>
      <w:r w:rsidRPr="00D22C79">
        <w:t xml:space="preserve">esearch </w:t>
      </w:r>
      <w:r w:rsidR="009248FE">
        <w:t>t</w:t>
      </w:r>
      <w:r w:rsidRPr="00D22C79">
        <w:t>rainees</w:t>
      </w:r>
      <w:bookmarkEnd w:id="7"/>
      <w:bookmarkEnd w:id="8"/>
      <w:bookmarkEnd w:id="9"/>
    </w:p>
    <w:p w14:paraId="11557815" w14:textId="77777777" w:rsidR="00003734" w:rsidRPr="00D22C79" w:rsidRDefault="00003734" w:rsidP="008E75F4">
      <w:pPr>
        <w:pStyle w:val="DHHSbody"/>
      </w:pPr>
      <w:r w:rsidRPr="00D22C79">
        <w:t xml:space="preserve">Researchers and supervisors of research trainees have a responsibility to: </w:t>
      </w:r>
    </w:p>
    <w:p w14:paraId="16EC6DA9" w14:textId="485DB10B" w:rsidR="00003734" w:rsidRPr="00D22C79" w:rsidRDefault="00057A40" w:rsidP="009248FE">
      <w:pPr>
        <w:pStyle w:val="DHHSbullet1"/>
      </w:pPr>
      <w:r>
        <w:t>M</w:t>
      </w:r>
      <w:r w:rsidR="00003734" w:rsidRPr="00D22C79">
        <w:t>aintain high standards of responsible research, including the proper management of intellectual property and the proper management and retention of research dat</w:t>
      </w:r>
      <w:r w:rsidR="00003734">
        <w:t>a and primary materials</w:t>
      </w:r>
    </w:p>
    <w:p w14:paraId="0737B06F" w14:textId="20E7322B" w:rsidR="00003734" w:rsidRPr="00D22C79" w:rsidRDefault="00057A40" w:rsidP="009248FE">
      <w:pPr>
        <w:pStyle w:val="DHHSbullet1"/>
      </w:pPr>
      <w:r>
        <w:t>R</w:t>
      </w:r>
      <w:r w:rsidR="00003734">
        <w:t>eport research responsibly</w:t>
      </w:r>
    </w:p>
    <w:p w14:paraId="7E784319" w14:textId="1F31FE62" w:rsidR="00003734" w:rsidRPr="00D22C79" w:rsidRDefault="00057A40" w:rsidP="009248FE">
      <w:pPr>
        <w:pStyle w:val="DHHSbullet1"/>
      </w:pPr>
      <w:r>
        <w:t>R</w:t>
      </w:r>
      <w:r w:rsidR="00003734" w:rsidRPr="00D22C79">
        <w:t>espect human research participants, animals used i</w:t>
      </w:r>
      <w:r w:rsidR="00003734">
        <w:t>n research, and the environment</w:t>
      </w:r>
    </w:p>
    <w:p w14:paraId="66B31FCC" w14:textId="6D27D9AF" w:rsidR="00003734" w:rsidRPr="00D22C79" w:rsidRDefault="00057A40" w:rsidP="009248FE">
      <w:pPr>
        <w:pStyle w:val="DHHSbullet1"/>
      </w:pPr>
      <w:r>
        <w:t>E</w:t>
      </w:r>
      <w:r w:rsidR="00003734" w:rsidRPr="00D22C79">
        <w:t xml:space="preserve">ncourage and facilitate the open exchange of ideas between peers and appropriate consumer and community </w:t>
      </w:r>
      <w:r w:rsidR="0083193C">
        <w:t>engagement</w:t>
      </w:r>
      <w:r w:rsidR="00003734" w:rsidRPr="00D22C79">
        <w:t xml:space="preserve"> i</w:t>
      </w:r>
      <w:r w:rsidR="00003734">
        <w:t>n research</w:t>
      </w:r>
    </w:p>
    <w:p w14:paraId="00D7CFEC" w14:textId="239E7134" w:rsidR="00003734" w:rsidRPr="00D22C79" w:rsidRDefault="00057A40" w:rsidP="009248FE">
      <w:pPr>
        <w:pStyle w:val="DHHSbullet1"/>
      </w:pPr>
      <w:r>
        <w:t>R</w:t>
      </w:r>
      <w:r w:rsidR="00003734" w:rsidRPr="00D22C79">
        <w:t xml:space="preserve">eport research misconduct in accordance with the </w:t>
      </w:r>
      <w:r w:rsidR="00003734" w:rsidRPr="001D29CE">
        <w:rPr>
          <w:i/>
        </w:rPr>
        <w:t>Australian Code for the Responsible Conduct of Research</w:t>
      </w:r>
      <w:r w:rsidR="00003734" w:rsidRPr="001D29CE">
        <w:t xml:space="preserve"> (20</w:t>
      </w:r>
      <w:r w:rsidR="004A1692">
        <w:t>18</w:t>
      </w:r>
      <w:r w:rsidR="00003734" w:rsidRPr="001D29CE">
        <w:t>)</w:t>
      </w:r>
      <w:r w:rsidR="00003734" w:rsidRPr="00D22C79">
        <w:t>.</w:t>
      </w:r>
    </w:p>
    <w:p w14:paraId="7250390B" w14:textId="12EAED37" w:rsidR="00003734" w:rsidRPr="00D22C79" w:rsidRDefault="00003734" w:rsidP="008E75F4">
      <w:pPr>
        <w:pStyle w:val="Heading2"/>
      </w:pPr>
      <w:bookmarkStart w:id="10" w:name="_Toc184014624"/>
      <w:bookmarkStart w:id="11" w:name="_Toc480448534"/>
      <w:bookmarkStart w:id="12" w:name="_Toc509303551"/>
      <w:bookmarkStart w:id="13" w:name="_Toc136955688"/>
      <w:r>
        <w:t>1.3</w:t>
      </w:r>
      <w:r w:rsidRPr="00D22C79">
        <w:tab/>
        <w:t xml:space="preserve">Ethical </w:t>
      </w:r>
      <w:r w:rsidR="009248FE">
        <w:t>s</w:t>
      </w:r>
      <w:r w:rsidRPr="00D22C79">
        <w:t>tandards</w:t>
      </w:r>
      <w:bookmarkEnd w:id="10"/>
      <w:bookmarkEnd w:id="11"/>
      <w:bookmarkEnd w:id="12"/>
      <w:bookmarkEnd w:id="13"/>
    </w:p>
    <w:p w14:paraId="0AA95090" w14:textId="34B8B36C" w:rsidR="00003734" w:rsidRPr="00D22C79" w:rsidRDefault="00003734" w:rsidP="008E75F4">
      <w:pPr>
        <w:pStyle w:val="DHHSbody"/>
      </w:pPr>
      <w:r w:rsidRPr="00D22C79">
        <w:t xml:space="preserve">The VCA expects all funded parties and/or </w:t>
      </w:r>
      <w:r w:rsidR="00F37BAE">
        <w:t>A</w:t>
      </w:r>
      <w:r w:rsidRPr="00D22C79">
        <w:t xml:space="preserve">dministering </w:t>
      </w:r>
      <w:r w:rsidR="00F37BAE">
        <w:t>O</w:t>
      </w:r>
      <w:r w:rsidRPr="00D22C79">
        <w:t>rganisations to comply with laws and relevant ethical and research standards and policies for conducting research including:</w:t>
      </w:r>
    </w:p>
    <w:p w14:paraId="1C84632E" w14:textId="6ABD983B" w:rsidR="00003734" w:rsidRPr="00276150" w:rsidRDefault="00057A40" w:rsidP="009248FE">
      <w:pPr>
        <w:pStyle w:val="DHHSbullet1"/>
        <w:rPr>
          <w:b/>
        </w:rPr>
      </w:pPr>
      <w:r>
        <w:t>T</w:t>
      </w:r>
      <w:r w:rsidR="00003734" w:rsidRPr="00D22C79">
        <w:t xml:space="preserve">he </w:t>
      </w:r>
      <w:hyperlink r:id="rId17" w:history="1">
        <w:r w:rsidR="00003734" w:rsidRPr="009B5483">
          <w:rPr>
            <w:rStyle w:val="Hyperlink"/>
            <w:rFonts w:cs="Arial"/>
            <w:i/>
          </w:rPr>
          <w:t>National Statement on Ethical Conduct in Human Research 2007</w:t>
        </w:r>
      </w:hyperlink>
      <w:r w:rsidR="00003734">
        <w:rPr>
          <w:rStyle w:val="Hyperlink"/>
          <w:rFonts w:cs="Arial"/>
          <w:i/>
        </w:rPr>
        <w:t xml:space="preserve"> </w:t>
      </w:r>
      <w:r w:rsidR="000B2B69">
        <w:rPr>
          <w:rStyle w:val="Hyperlink"/>
          <w:rFonts w:cs="Arial"/>
          <w:color w:val="auto"/>
          <w:u w:val="none"/>
        </w:rPr>
        <w:t xml:space="preserve">&lt;https://www.nhmrc.gov.au/about-us/publications/national-statement-ethical-conduct-human-research-2007-updated-2018&gt; </w:t>
      </w:r>
      <w:r w:rsidR="000B2B69" w:rsidRPr="000B2B69">
        <w:rPr>
          <w:rStyle w:val="Hyperlink"/>
          <w:rFonts w:cs="Arial"/>
          <w:color w:val="auto"/>
          <w:u w:val="none"/>
        </w:rPr>
        <w:t>(updated 2018)</w:t>
      </w:r>
    </w:p>
    <w:p w14:paraId="1DDD9E66" w14:textId="03203672" w:rsidR="00003734" w:rsidRPr="00D22C79" w:rsidRDefault="00057A40" w:rsidP="009248FE">
      <w:pPr>
        <w:pStyle w:val="DHHSbullet1"/>
        <w:rPr>
          <w:rStyle w:val="Hyperlink"/>
          <w:rFonts w:cs="Arial"/>
        </w:rPr>
      </w:pPr>
      <w:r>
        <w:lastRenderedPageBreak/>
        <w:t>T</w:t>
      </w:r>
      <w:r w:rsidR="00003734" w:rsidRPr="00276150">
        <w:t>h</w:t>
      </w:r>
      <w:r w:rsidR="00003734" w:rsidRPr="00D22C79">
        <w:t>e</w:t>
      </w:r>
      <w:r w:rsidR="00003734" w:rsidRPr="009B5483">
        <w:rPr>
          <w:rStyle w:val="Hyperlink"/>
          <w:i/>
        </w:rPr>
        <w:t xml:space="preserve"> </w:t>
      </w:r>
      <w:hyperlink r:id="rId18" w:history="1">
        <w:r w:rsidR="000B2B69">
          <w:rPr>
            <w:rStyle w:val="Hyperlink"/>
            <w:rFonts w:cs="Arial"/>
            <w:i/>
          </w:rPr>
          <w:t>Australian code for the care and use of animals for scientific purposes 8th edition</w:t>
        </w:r>
      </w:hyperlink>
      <w:r w:rsidR="006D2ED5">
        <w:rPr>
          <w:rStyle w:val="Hyperlink"/>
          <w:rFonts w:cs="Arial"/>
          <w:i/>
        </w:rPr>
        <w:t xml:space="preserve"> </w:t>
      </w:r>
      <w:r w:rsidR="007678F1" w:rsidRPr="000B2B69">
        <w:rPr>
          <w:rStyle w:val="Hyperlink"/>
          <w:rFonts w:cs="Arial"/>
          <w:color w:val="auto"/>
          <w:u w:val="none"/>
        </w:rPr>
        <w:t>(2013)</w:t>
      </w:r>
      <w:r w:rsidR="007678F1">
        <w:rPr>
          <w:rStyle w:val="Hyperlink"/>
          <w:rFonts w:cs="Arial"/>
          <w:color w:val="auto"/>
          <w:u w:val="none"/>
        </w:rPr>
        <w:t xml:space="preserve"> </w:t>
      </w:r>
      <w:r w:rsidR="000B2B69">
        <w:rPr>
          <w:rStyle w:val="Hyperlink"/>
          <w:rFonts w:cs="Arial"/>
          <w:color w:val="auto"/>
          <w:u w:val="none"/>
        </w:rPr>
        <w:t xml:space="preserve">&lt;https://www.nhmrc.gov.au/about-us/publications/australian-code-care-and-use-animals-scientific-purposes&gt; </w:t>
      </w:r>
    </w:p>
    <w:p w14:paraId="5A127BDB" w14:textId="287142BD" w:rsidR="00003734" w:rsidRPr="00D22C79" w:rsidRDefault="00057A40" w:rsidP="009248FE">
      <w:pPr>
        <w:pStyle w:val="DHHSbullet1"/>
      </w:pPr>
      <w:r>
        <w:t>A</w:t>
      </w:r>
      <w:r w:rsidR="00003734" w:rsidRPr="00D22C79">
        <w:t>n ongoing commitment to the three “</w:t>
      </w:r>
      <w:proofErr w:type="gramStart"/>
      <w:r w:rsidR="00003734" w:rsidRPr="00D22C79">
        <w:t>R’s</w:t>
      </w:r>
      <w:proofErr w:type="gramEnd"/>
      <w:r w:rsidR="00003734" w:rsidRPr="00D22C79">
        <w:t xml:space="preserve">” </w:t>
      </w:r>
      <w:r w:rsidR="00810E7A">
        <w:t>as a guiding principle</w:t>
      </w:r>
      <w:r w:rsidR="00003734" w:rsidRPr="00D22C79">
        <w:t xml:space="preserve"> to research using animals: the </w:t>
      </w:r>
      <w:r w:rsidR="00003734" w:rsidRPr="00D22C79">
        <w:rPr>
          <w:iCs/>
        </w:rPr>
        <w:t>replacement</w:t>
      </w:r>
      <w:r w:rsidR="00003734" w:rsidRPr="00D22C79">
        <w:t xml:space="preserve"> of animals with other methods, the</w:t>
      </w:r>
      <w:r w:rsidR="00003734" w:rsidRPr="00D22C79">
        <w:rPr>
          <w:iCs/>
        </w:rPr>
        <w:t xml:space="preserve"> reduction</w:t>
      </w:r>
      <w:r w:rsidR="00003734" w:rsidRPr="00D22C79">
        <w:t xml:space="preserve"> of the number of animals used, and the </w:t>
      </w:r>
      <w:r w:rsidR="00003734" w:rsidRPr="00D22C79">
        <w:rPr>
          <w:iCs/>
        </w:rPr>
        <w:t xml:space="preserve">refinement </w:t>
      </w:r>
      <w:r w:rsidR="00003734" w:rsidRPr="00D22C79">
        <w:t>of techniques used to r</w:t>
      </w:r>
      <w:r w:rsidR="00003734">
        <w:t>educe the impact on animals</w:t>
      </w:r>
    </w:p>
    <w:p w14:paraId="1226615E" w14:textId="318336D6" w:rsidR="00003734" w:rsidRDefault="00057A40" w:rsidP="009248FE">
      <w:pPr>
        <w:pStyle w:val="DHHSbullet1"/>
      </w:pPr>
      <w:r>
        <w:t>T</w:t>
      </w:r>
      <w:r w:rsidR="00003734" w:rsidRPr="00D22C79">
        <w:t xml:space="preserve">he </w:t>
      </w:r>
      <w:hyperlink r:id="rId19" w:history="1">
        <w:r w:rsidR="00003734" w:rsidRPr="00705E88">
          <w:rPr>
            <w:rStyle w:val="Hyperlink"/>
            <w:rFonts w:cs="Arial"/>
            <w:bCs/>
            <w:i/>
          </w:rPr>
          <w:t>National Framework of Ethical Principles in Gene Technology</w:t>
        </w:r>
      </w:hyperlink>
      <w:r w:rsidR="000B2B69">
        <w:rPr>
          <w:shd w:val="clear" w:color="auto" w:fill="FFFFFF"/>
        </w:rPr>
        <w:t xml:space="preserve"> </w:t>
      </w:r>
      <w:r w:rsidR="000B2B69">
        <w:t>&lt;</w:t>
      </w:r>
      <w:r w:rsidR="00783F7B" w:rsidRPr="00783F7B">
        <w:t xml:space="preserve">https://www.ogtr.gov.au/sites/default/files/files/2021-07/national_framework_of_ethical_principles.pdf </w:t>
      </w:r>
      <w:r w:rsidR="00D66B0D">
        <w:t>&gt;</w:t>
      </w:r>
      <w:r w:rsidR="00AD29FF" w:rsidRPr="00AD29FF">
        <w:t xml:space="preserve"> </w:t>
      </w:r>
      <w:r w:rsidR="000B2B69">
        <w:rPr>
          <w:shd w:val="clear" w:color="auto" w:fill="FFFFFF"/>
        </w:rPr>
        <w:t>(</w:t>
      </w:r>
      <w:r w:rsidR="000B2B69" w:rsidRPr="00D22C79">
        <w:rPr>
          <w:shd w:val="clear" w:color="auto" w:fill="FFFFFF"/>
        </w:rPr>
        <w:t>The Gene Technology Ethics and Community Consultative Committee 2012</w:t>
      </w:r>
      <w:r w:rsidR="000B2B69" w:rsidRPr="00D22C79">
        <w:t>)</w:t>
      </w:r>
    </w:p>
    <w:p w14:paraId="774646F1" w14:textId="2F4AFE84" w:rsidR="00832CCB" w:rsidRPr="00535BC2" w:rsidRDefault="00057A40" w:rsidP="00832CCB">
      <w:pPr>
        <w:pStyle w:val="DHHSbullet1"/>
      </w:pPr>
      <w:r>
        <w:t>T</w:t>
      </w:r>
      <w:r w:rsidR="00832CCB">
        <w:t>he</w:t>
      </w:r>
      <w:r w:rsidR="007E54EF">
        <w:t xml:space="preserve"> </w:t>
      </w:r>
      <w:hyperlink r:id="rId20" w:history="1">
        <w:r w:rsidR="007E54EF" w:rsidRPr="007E54EF">
          <w:rPr>
            <w:rStyle w:val="Hyperlink"/>
            <w:i/>
            <w:iCs/>
          </w:rPr>
          <w:t>AIATSIS Code of Ethics for Aboriginal and Torres Strait Islander Research</w:t>
        </w:r>
      </w:hyperlink>
      <w:r w:rsidR="00832CCB">
        <w:t xml:space="preserve"> </w:t>
      </w:r>
      <w:r w:rsidR="00535BC2" w:rsidRPr="00535BC2">
        <w:t>&lt;https://aiatsis.gov.au/research/ethical-research/code-ethics&gt;</w:t>
      </w:r>
      <w:r w:rsidR="00C70841" w:rsidRPr="00535BC2">
        <w:t>.</w:t>
      </w:r>
    </w:p>
    <w:p w14:paraId="4205E59B" w14:textId="77777777" w:rsidR="00832CCB" w:rsidRDefault="00832CCB" w:rsidP="00D02761">
      <w:pPr>
        <w:pStyle w:val="DHHSbullet1"/>
        <w:numPr>
          <w:ilvl w:val="0"/>
          <w:numId w:val="0"/>
        </w:numPr>
        <w:ind w:left="284"/>
      </w:pPr>
    </w:p>
    <w:p w14:paraId="657220B2" w14:textId="0D46AC9F" w:rsidR="00003734" w:rsidRPr="008E75F4" w:rsidRDefault="00003734" w:rsidP="008E75F4">
      <w:pPr>
        <w:pStyle w:val="Heading2"/>
        <w:rPr>
          <w:color w:val="000000"/>
          <w:lang w:eastAsia="en-AU"/>
        </w:rPr>
      </w:pPr>
      <w:bookmarkStart w:id="14" w:name="_Toc480448535"/>
      <w:bookmarkStart w:id="15" w:name="_Toc509303552"/>
      <w:bookmarkStart w:id="16" w:name="_Toc136955689"/>
      <w:r w:rsidRPr="00D22C79">
        <w:t>1.4</w:t>
      </w:r>
      <w:r w:rsidRPr="00D22C79">
        <w:tab/>
        <w:t xml:space="preserve">Ethics </w:t>
      </w:r>
      <w:r w:rsidR="009248FE">
        <w:t>c</w:t>
      </w:r>
      <w:r w:rsidRPr="00D22C79">
        <w:t>learance</w:t>
      </w:r>
      <w:bookmarkEnd w:id="14"/>
      <w:bookmarkEnd w:id="15"/>
      <w:bookmarkEnd w:id="16"/>
    </w:p>
    <w:p w14:paraId="665D4CCA" w14:textId="77777777" w:rsidR="00003734" w:rsidRPr="00D22C79" w:rsidRDefault="00003734" w:rsidP="008E75F4">
      <w:pPr>
        <w:pStyle w:val="DHHSbody"/>
      </w:pPr>
      <w:r w:rsidRPr="00D22C79">
        <w:t>The VCA requires that funded parties comply with ethical principles of integrity, respect for persons, justice and beneficence in research. Funded parties must receive written approval from appropriate ethics committees, safety or other regulatory bodies</w:t>
      </w:r>
      <w:r>
        <w:t>,</w:t>
      </w:r>
      <w:r w:rsidRPr="00D22C79">
        <w:t xml:space="preserve"> where required</w:t>
      </w:r>
      <w:r>
        <w:t>,</w:t>
      </w:r>
      <w:r w:rsidRPr="00D22C79">
        <w:t xml:space="preserve"> to undertake the research.</w:t>
      </w:r>
    </w:p>
    <w:p w14:paraId="2457D274" w14:textId="77777777" w:rsidR="00003734" w:rsidRPr="00D22C79" w:rsidRDefault="00003734" w:rsidP="008E75F4">
      <w:pPr>
        <w:pStyle w:val="DHHSbody"/>
      </w:pPr>
      <w:r w:rsidRPr="00D22C79">
        <w:t xml:space="preserve">If awarded VCA funding, relevant committee approvals (for example Human Research Ethics Committee, Animal Experimentation Ethics Committee or Biosafety Committee approvals) must be obtained as required and copies must be provided to the VCA on request. </w:t>
      </w:r>
    </w:p>
    <w:p w14:paraId="58316349" w14:textId="5447E584" w:rsidR="00003734" w:rsidRPr="00D22C79" w:rsidRDefault="00003734" w:rsidP="008E75F4">
      <w:pPr>
        <w:pStyle w:val="Heading2"/>
      </w:pPr>
      <w:bookmarkStart w:id="17" w:name="_Toc480448536"/>
      <w:bookmarkStart w:id="18" w:name="_Toc509303553"/>
      <w:bookmarkStart w:id="19" w:name="_Toc136955690"/>
      <w:r w:rsidRPr="00D22C79">
        <w:t>1.5</w:t>
      </w:r>
      <w:r w:rsidRPr="00D22C79">
        <w:tab/>
        <w:t xml:space="preserve">Conflict of </w:t>
      </w:r>
      <w:r w:rsidR="009248FE">
        <w:t>i</w:t>
      </w:r>
      <w:r w:rsidRPr="00D22C79">
        <w:t>nterest</w:t>
      </w:r>
      <w:bookmarkEnd w:id="17"/>
      <w:bookmarkEnd w:id="18"/>
      <w:bookmarkEnd w:id="19"/>
    </w:p>
    <w:p w14:paraId="79BADBBB" w14:textId="07583FF6" w:rsidR="00003734" w:rsidRPr="00D22C79" w:rsidRDefault="009665EA" w:rsidP="008E75F4">
      <w:pPr>
        <w:pStyle w:val="DHHSbody"/>
      </w:pPr>
      <w:r>
        <w:t>A</w:t>
      </w:r>
      <w:r w:rsidR="00003734" w:rsidRPr="00D22C79">
        <w:t xml:space="preserve">pplicants and </w:t>
      </w:r>
      <w:r>
        <w:t>funding</w:t>
      </w:r>
      <w:r w:rsidR="00003734" w:rsidRPr="00D22C79">
        <w:t xml:space="preserve"> recipients have a responsibility to ensure, both at the time of applying for funding, and during a funding term, that no actual or potential conflict of interest arises, or can reasonably be perceived to arise during the funding term. Funded parties also have an ongoing obligation to inform the VCA in writing of any matter that may give rise to a conflict of interest.</w:t>
      </w:r>
    </w:p>
    <w:p w14:paraId="108C8A93" w14:textId="6B5DF12C" w:rsidR="00003734" w:rsidRPr="00D22C79" w:rsidRDefault="00003734" w:rsidP="008E75F4">
      <w:pPr>
        <w:pStyle w:val="Heading2"/>
      </w:pPr>
      <w:bookmarkStart w:id="20" w:name="_Toc480448538"/>
      <w:bookmarkStart w:id="21" w:name="_Toc509303554"/>
      <w:bookmarkStart w:id="22" w:name="_Toc136955691"/>
      <w:r w:rsidRPr="00D22C79">
        <w:t>1.</w:t>
      </w:r>
      <w:r>
        <w:t>6</w:t>
      </w:r>
      <w:r w:rsidRPr="00D22C79">
        <w:tab/>
        <w:t>Non-</w:t>
      </w:r>
      <w:r w:rsidR="009248FE">
        <w:t>d</w:t>
      </w:r>
      <w:r w:rsidRPr="005B5E05">
        <w:t>uplication</w:t>
      </w:r>
      <w:bookmarkEnd w:id="20"/>
      <w:bookmarkEnd w:id="21"/>
      <w:bookmarkEnd w:id="22"/>
      <w:r w:rsidRPr="00D22C79">
        <w:t xml:space="preserve"> </w:t>
      </w:r>
    </w:p>
    <w:p w14:paraId="7AACE3C5" w14:textId="77777777" w:rsidR="00003734" w:rsidRPr="00D22C79" w:rsidRDefault="00003734" w:rsidP="008E75F4">
      <w:pPr>
        <w:pStyle w:val="DHHSbody"/>
        <w:rPr>
          <w:b/>
          <w:bCs/>
        </w:rPr>
      </w:pPr>
      <w:r w:rsidRPr="00D22C79">
        <w:t>While the VCA acknowledges the probability of research co-funding, the VCA has the following policies with regard to this matter.</w:t>
      </w:r>
    </w:p>
    <w:p w14:paraId="55AAE983" w14:textId="4DA2D484" w:rsidR="00003734" w:rsidRPr="00D22C79" w:rsidRDefault="00003734" w:rsidP="008E75F4">
      <w:pPr>
        <w:pStyle w:val="Heading3"/>
      </w:pPr>
      <w:bookmarkStart w:id="23" w:name="_Toc480448539"/>
      <w:bookmarkStart w:id="24" w:name="_Toc509303555"/>
      <w:r w:rsidRPr="00D22C79">
        <w:t>1.</w:t>
      </w:r>
      <w:r>
        <w:t>6</w:t>
      </w:r>
      <w:r w:rsidRPr="00D22C79">
        <w:t>.1</w:t>
      </w:r>
      <w:r w:rsidRPr="00D22C79">
        <w:tab/>
        <w:t xml:space="preserve">Duplication of </w:t>
      </w:r>
      <w:r w:rsidR="009248FE">
        <w:t>f</w:t>
      </w:r>
      <w:r w:rsidRPr="00D22C79">
        <w:t>unding</w:t>
      </w:r>
      <w:bookmarkEnd w:id="23"/>
      <w:bookmarkEnd w:id="24"/>
      <w:r w:rsidRPr="00D22C79">
        <w:t xml:space="preserve"> </w:t>
      </w:r>
    </w:p>
    <w:p w14:paraId="18CD24A1" w14:textId="77777777" w:rsidR="00003734" w:rsidRPr="00D22C79" w:rsidRDefault="00003734" w:rsidP="008E75F4">
      <w:pPr>
        <w:pStyle w:val="DHHSbody"/>
      </w:pPr>
      <w:r w:rsidRPr="00D22C79">
        <w:t>The VCA will not provide financial assistance to meet the costs of a project to the extent that those costs have been, or are likely to be, met by funding obtained from another source (inc</w:t>
      </w:r>
      <w:r>
        <w:t>luding other VCA funding).</w:t>
      </w:r>
    </w:p>
    <w:p w14:paraId="1102E665" w14:textId="4AA60312" w:rsidR="00003734" w:rsidRPr="00D22C79" w:rsidRDefault="00003734" w:rsidP="008E75F4">
      <w:pPr>
        <w:pStyle w:val="Heading3"/>
      </w:pPr>
      <w:bookmarkStart w:id="25" w:name="_Toc480448540"/>
      <w:bookmarkStart w:id="26" w:name="_Toc509303556"/>
      <w:r w:rsidRPr="00D22C79">
        <w:t>1.</w:t>
      </w:r>
      <w:r>
        <w:t>6</w:t>
      </w:r>
      <w:r w:rsidRPr="00D22C79">
        <w:t>.2</w:t>
      </w:r>
      <w:r w:rsidRPr="00D22C79">
        <w:tab/>
        <w:t xml:space="preserve">Notification of </w:t>
      </w:r>
      <w:r w:rsidR="009248FE">
        <w:t>d</w:t>
      </w:r>
      <w:r w:rsidRPr="00D22C79">
        <w:t xml:space="preserve">uplicate </w:t>
      </w:r>
      <w:r w:rsidR="009248FE">
        <w:t>f</w:t>
      </w:r>
      <w:r w:rsidRPr="00D22C79">
        <w:t>unding</w:t>
      </w:r>
      <w:bookmarkEnd w:id="25"/>
      <w:bookmarkEnd w:id="26"/>
    </w:p>
    <w:p w14:paraId="374D631E" w14:textId="43F63028" w:rsidR="00003734" w:rsidRPr="00D22C79" w:rsidRDefault="00003734" w:rsidP="008E75F4">
      <w:pPr>
        <w:pStyle w:val="DHHSbody"/>
        <w:rPr>
          <w:bCs/>
        </w:rPr>
      </w:pPr>
      <w:r w:rsidRPr="00D22C79">
        <w:rPr>
          <w:bCs/>
        </w:rPr>
        <w:t xml:space="preserve">The </w:t>
      </w:r>
      <w:r w:rsidR="009665EA">
        <w:rPr>
          <w:bCs/>
        </w:rPr>
        <w:t>A</w:t>
      </w:r>
      <w:r w:rsidRPr="00D22C79">
        <w:rPr>
          <w:bCs/>
        </w:rPr>
        <w:t xml:space="preserve">pplicant has a responsibility not to accept duplicate funding, and to inform the VCA if, at any time </w:t>
      </w:r>
      <w:r w:rsidRPr="00D22C79">
        <w:t>during</w:t>
      </w:r>
      <w:r w:rsidRPr="00D22C79">
        <w:rPr>
          <w:bCs/>
        </w:rPr>
        <w:t xml:space="preserve"> the assessment process or subsequent, funding is provided for costs requested </w:t>
      </w:r>
      <w:r>
        <w:rPr>
          <w:bCs/>
        </w:rPr>
        <w:t>under a VCA funding application.</w:t>
      </w:r>
    </w:p>
    <w:p w14:paraId="2EE0591B" w14:textId="2A06FBAB" w:rsidR="00003734" w:rsidRPr="00D22C79" w:rsidRDefault="00003734" w:rsidP="008E75F4">
      <w:pPr>
        <w:pStyle w:val="Heading3"/>
      </w:pPr>
      <w:bookmarkStart w:id="27" w:name="_Toc480448541"/>
      <w:bookmarkStart w:id="28" w:name="_Toc509303557"/>
      <w:r w:rsidRPr="00D22C79">
        <w:t>1.</w:t>
      </w:r>
      <w:r>
        <w:t>6</w:t>
      </w:r>
      <w:r w:rsidRPr="00D22C79">
        <w:t>.3</w:t>
      </w:r>
      <w:r w:rsidRPr="00D22C79">
        <w:tab/>
        <w:t xml:space="preserve">Decisions on </w:t>
      </w:r>
      <w:r w:rsidR="009248FE">
        <w:t>c</w:t>
      </w:r>
      <w:r w:rsidRPr="00D22C79">
        <w:t>o-funding</w:t>
      </w:r>
      <w:bookmarkEnd w:id="27"/>
      <w:bookmarkEnd w:id="28"/>
    </w:p>
    <w:p w14:paraId="6FC7272A" w14:textId="77777777" w:rsidR="00003734" w:rsidRPr="00D22C79" w:rsidRDefault="00003734" w:rsidP="008E75F4">
      <w:pPr>
        <w:pStyle w:val="DHHSbody"/>
      </w:pPr>
      <w:r w:rsidRPr="00D22C79">
        <w:t xml:space="preserve">Where a significant portion of the costs for proposed research has been, or is likely to be, funded by other sources (including other VCA funding), the VCA may decide to </w:t>
      </w:r>
      <w:r w:rsidRPr="00D22C79">
        <w:rPr>
          <w:bCs/>
        </w:rPr>
        <w:t>recommend</w:t>
      </w:r>
      <w:r w:rsidRPr="00D22C79">
        <w:t xml:space="preserve"> that the proposal not be funded at all. In other cases, the VCA may decide to recommend a reduced amount of funding for the proposed research.</w:t>
      </w:r>
    </w:p>
    <w:p w14:paraId="4636659A" w14:textId="1680B224" w:rsidR="00003734" w:rsidRPr="00D22C79" w:rsidRDefault="00003734" w:rsidP="008E75F4">
      <w:pPr>
        <w:pStyle w:val="Heading2"/>
      </w:pPr>
      <w:bookmarkStart w:id="29" w:name="_Toc480448542"/>
      <w:bookmarkStart w:id="30" w:name="_Toc509303558"/>
      <w:bookmarkStart w:id="31" w:name="_Toc136955692"/>
      <w:r w:rsidRPr="00D22C79">
        <w:lastRenderedPageBreak/>
        <w:t>1.</w:t>
      </w:r>
      <w:r>
        <w:t>7</w:t>
      </w:r>
      <w:r w:rsidRPr="00D22C79">
        <w:tab/>
        <w:t xml:space="preserve">The </w:t>
      </w:r>
      <w:r w:rsidR="009248FE">
        <w:t>d</w:t>
      </w:r>
      <w:r w:rsidRPr="00D22C79">
        <w:t xml:space="preserve">issemination of </w:t>
      </w:r>
      <w:r w:rsidR="009248FE">
        <w:t>r</w:t>
      </w:r>
      <w:r w:rsidRPr="00D22C79">
        <w:t xml:space="preserve">esearch </w:t>
      </w:r>
      <w:r w:rsidR="009248FE">
        <w:t>o</w:t>
      </w:r>
      <w:r w:rsidRPr="00D22C79">
        <w:t>utputs</w:t>
      </w:r>
      <w:bookmarkEnd w:id="29"/>
      <w:bookmarkEnd w:id="30"/>
      <w:bookmarkEnd w:id="31"/>
    </w:p>
    <w:p w14:paraId="2FE49BCA" w14:textId="338DC2CD" w:rsidR="00003734" w:rsidRPr="00D22C79" w:rsidRDefault="00003734" w:rsidP="008E75F4">
      <w:pPr>
        <w:pStyle w:val="DHHSbody"/>
        <w:rPr>
          <w:b/>
          <w:bCs/>
        </w:rPr>
      </w:pPr>
      <w:r w:rsidRPr="00D22C79">
        <w:t xml:space="preserve">The Victorian Government, through the VCA, </w:t>
      </w:r>
      <w:r w:rsidR="00477BEC">
        <w:t>significantly</w:t>
      </w:r>
      <w:r w:rsidRPr="00D22C79">
        <w:t xml:space="preserve"> invest</w:t>
      </w:r>
      <w:r w:rsidR="00477BEC">
        <w:t>s</w:t>
      </w:r>
      <w:r w:rsidRPr="00D22C79">
        <w:t xml:space="preserve"> in cancer research to support its essential role in improving cancer patient care and outcomes in Victoria. Consistent with the National Health and Medical Research Council’s </w:t>
      </w:r>
      <w:hyperlink r:id="rId21" w:history="1">
        <w:r w:rsidRPr="00A03740">
          <w:rPr>
            <w:rStyle w:val="Hyperlink"/>
            <w:i/>
          </w:rPr>
          <w:t>Australian Code for the Responsible Conduct of Research</w:t>
        </w:r>
      </w:hyperlink>
      <w:r w:rsidR="0029411B">
        <w:t xml:space="preserve"> </w:t>
      </w:r>
      <w:r w:rsidR="00C67AE4">
        <w:t>(2018)</w:t>
      </w:r>
      <w:r w:rsidR="00C67AE4">
        <w:t xml:space="preserve"> </w:t>
      </w:r>
      <w:r w:rsidR="000B2B69">
        <w:t>&lt;https://www.nhmrc.gov.au/about-us/publications/australian-code-responsible-conduct-research-20</w:t>
      </w:r>
      <w:r w:rsidR="0007687F">
        <w:t>18</w:t>
      </w:r>
      <w:r w:rsidR="000B2B69">
        <w:t>&gt;</w:t>
      </w:r>
      <w:r w:rsidR="00C67AE4">
        <w:t>, t</w:t>
      </w:r>
      <w:r w:rsidRPr="00D22C79">
        <w:t xml:space="preserve">he VCA has an expectation that researchers will disseminate their research data and that any publications arising from VCA funded research be </w:t>
      </w:r>
      <w:r w:rsidR="00477BEC">
        <w:t>made available through</w:t>
      </w:r>
      <w:r w:rsidRPr="00D22C79">
        <w:t xml:space="preserve"> an open access institutional repository.</w:t>
      </w:r>
    </w:p>
    <w:p w14:paraId="70395BDD" w14:textId="09D8512A" w:rsidR="00003734" w:rsidRPr="00D22C79" w:rsidRDefault="00003734" w:rsidP="008E75F4">
      <w:pPr>
        <w:pStyle w:val="Heading2"/>
      </w:pPr>
      <w:bookmarkStart w:id="32" w:name="_Toc480448543"/>
      <w:bookmarkStart w:id="33" w:name="_Toc509303559"/>
      <w:bookmarkStart w:id="34" w:name="_Toc136955693"/>
      <w:r w:rsidRPr="005E1ABB">
        <w:t>1.8</w:t>
      </w:r>
      <w:r w:rsidRPr="005E1ABB">
        <w:tab/>
        <w:t xml:space="preserve">Special </w:t>
      </w:r>
      <w:r w:rsidR="009248FE" w:rsidRPr="005E1ABB">
        <w:t>r</w:t>
      </w:r>
      <w:r w:rsidRPr="005E1ABB">
        <w:t xml:space="preserve">esponsibilities: </w:t>
      </w:r>
      <w:r w:rsidR="00834731">
        <w:t>engag</w:t>
      </w:r>
      <w:r w:rsidRPr="005E1ABB">
        <w:t xml:space="preserve">ement of </w:t>
      </w:r>
      <w:r w:rsidR="0028645B" w:rsidRPr="005E1ABB">
        <w:t>A</w:t>
      </w:r>
      <w:r w:rsidRPr="005E1ABB">
        <w:t xml:space="preserve">boriginal and </w:t>
      </w:r>
      <w:r w:rsidR="0028645B" w:rsidRPr="005E1ABB">
        <w:t>T</w:t>
      </w:r>
      <w:r w:rsidRPr="005E1ABB">
        <w:t xml:space="preserve">orres </w:t>
      </w:r>
      <w:r w:rsidR="0028645B" w:rsidRPr="005E1ABB">
        <w:t>S</w:t>
      </w:r>
      <w:r w:rsidRPr="005E1ABB">
        <w:t xml:space="preserve">trait </w:t>
      </w:r>
      <w:r w:rsidR="0028645B" w:rsidRPr="005E1ABB">
        <w:t>I</w:t>
      </w:r>
      <w:r w:rsidRPr="005E1ABB">
        <w:t xml:space="preserve">slander </w:t>
      </w:r>
      <w:r w:rsidR="009248FE" w:rsidRPr="005E1ABB">
        <w:t>p</w:t>
      </w:r>
      <w:r w:rsidRPr="005E1ABB">
        <w:t xml:space="preserve">eople in </w:t>
      </w:r>
      <w:r w:rsidR="009248FE" w:rsidRPr="005E1ABB">
        <w:t>r</w:t>
      </w:r>
      <w:r w:rsidRPr="005E1ABB">
        <w:t>esearch</w:t>
      </w:r>
      <w:bookmarkEnd w:id="32"/>
      <w:bookmarkEnd w:id="33"/>
      <w:bookmarkEnd w:id="34"/>
    </w:p>
    <w:p w14:paraId="63861210" w14:textId="59936EE7" w:rsidR="00003734" w:rsidRPr="001D29CE" w:rsidRDefault="00003734" w:rsidP="008E75F4">
      <w:pPr>
        <w:pStyle w:val="DHHSbody"/>
        <w:rPr>
          <w:b/>
          <w:bCs/>
        </w:rPr>
      </w:pPr>
      <w:r w:rsidRPr="00D22C79">
        <w:t xml:space="preserve">To ensure best practice in relation to the </w:t>
      </w:r>
      <w:r w:rsidR="00834731">
        <w:t>engag</w:t>
      </w:r>
      <w:r w:rsidRPr="00D22C79">
        <w:t xml:space="preserve">ement of Aboriginal and Torres Strait Islander individuals, communities or groups involved in, or affected by funded research, the VCA considers that this Research </w:t>
      </w:r>
      <w:r w:rsidRPr="001D29CE">
        <w:t>Policy should be read in conjunction with:</w:t>
      </w:r>
    </w:p>
    <w:p w14:paraId="576D6BA3" w14:textId="109164B0" w:rsidR="00884494" w:rsidRPr="00884494" w:rsidRDefault="00120FB0" w:rsidP="00F71763">
      <w:pPr>
        <w:pStyle w:val="DHHSbody"/>
        <w:numPr>
          <w:ilvl w:val="0"/>
          <w:numId w:val="16"/>
        </w:numPr>
        <w:rPr>
          <w:rStyle w:val="Hyperlink"/>
          <w:color w:val="auto"/>
          <w:u w:val="none"/>
        </w:rPr>
      </w:pPr>
      <w:bookmarkStart w:id="35" w:name="_Toc184014623"/>
      <w:r>
        <w:t>T</w:t>
      </w:r>
      <w:r w:rsidR="00884494">
        <w:t xml:space="preserve">he </w:t>
      </w:r>
      <w:hyperlink r:id="rId22" w:history="1">
        <w:r w:rsidR="00884494" w:rsidRPr="007E54EF">
          <w:rPr>
            <w:rStyle w:val="Hyperlink"/>
            <w:i/>
            <w:iCs/>
          </w:rPr>
          <w:t>AIATSIS Code of Ethics for Aboriginal and Torres Strait Islander Research</w:t>
        </w:r>
      </w:hyperlink>
      <w:r w:rsidR="00884494">
        <w:t xml:space="preserve"> </w:t>
      </w:r>
      <w:r w:rsidR="00884494" w:rsidRPr="00535BC2">
        <w:t>&lt;https://aiatsis.gov.au/research/ethical-research/code-ethics&gt;.</w:t>
      </w:r>
    </w:p>
    <w:bookmarkEnd w:id="35"/>
    <w:p w14:paraId="296FD57E" w14:textId="23D6FB0E" w:rsidR="00003734" w:rsidRPr="00C547C0" w:rsidRDefault="007C6B19" w:rsidP="00F71763">
      <w:pPr>
        <w:pStyle w:val="DHHSbody"/>
        <w:numPr>
          <w:ilvl w:val="0"/>
          <w:numId w:val="16"/>
        </w:numPr>
      </w:pPr>
      <w:r>
        <w:fldChar w:fldCharType="begin"/>
      </w:r>
      <w:r w:rsidR="00816F44">
        <w:instrText>HYPERLINK "https://www.nhmrc.gov.au/about-us/resources/keeping-research-track-ii" \l ":~:text=Keeping%20research%20on%20track%20II%20was%20developed%20to%20provide%20advice,put%20into%20practice%20in%20research."</w:instrText>
      </w:r>
      <w:r>
        <w:fldChar w:fldCharType="separate"/>
      </w:r>
      <w:r w:rsidR="00D333C5" w:rsidRPr="00D333C5">
        <w:rPr>
          <w:rStyle w:val="Hyperlink"/>
          <w:rFonts w:cs="Arial"/>
          <w:bCs/>
        </w:rPr>
        <w:t>Keeping research on track II: a guide for Aboriginal and Torres Strait Islander peoples about health research ethics</w:t>
      </w:r>
      <w:r>
        <w:rPr>
          <w:rStyle w:val="Hyperlink"/>
          <w:rFonts w:cs="Arial"/>
          <w:bCs/>
        </w:rPr>
        <w:fldChar w:fldCharType="end"/>
      </w:r>
      <w:r w:rsidR="00306787">
        <w:rPr>
          <w:rStyle w:val="Hyperlink"/>
          <w:rFonts w:cs="Arial"/>
          <w:bCs/>
        </w:rPr>
        <w:t xml:space="preserve"> </w:t>
      </w:r>
      <w:r w:rsidR="00306787" w:rsidRPr="000B2B69">
        <w:rPr>
          <w:rStyle w:val="Hyperlink"/>
          <w:rFonts w:cs="Arial"/>
          <w:bCs/>
          <w:color w:val="auto"/>
          <w:u w:val="none"/>
        </w:rPr>
        <w:t>&lt;</w:t>
      </w:r>
      <w:r w:rsidR="00816F44" w:rsidRPr="00816F44">
        <w:rPr>
          <w:rStyle w:val="Hyperlink"/>
          <w:rFonts w:cs="Arial"/>
          <w:bCs/>
          <w:color w:val="auto"/>
          <w:u w:val="none"/>
        </w:rPr>
        <w:t>https://www.nhmrc.gov.au/about-us/resources/keeping-research-track-ii#:~:text=Keeping%20research%20on%20track%20II%20was%20developed%20to%20provide%20advice,put%20into%20practice%20in%20research</w:t>
      </w:r>
      <w:r w:rsidR="00816F44">
        <w:rPr>
          <w:rStyle w:val="Hyperlink"/>
          <w:rFonts w:cs="Arial"/>
          <w:bCs/>
          <w:color w:val="auto"/>
          <w:u w:val="none"/>
        </w:rPr>
        <w:t>&gt;</w:t>
      </w:r>
      <w:r w:rsidR="00950A9D" w:rsidRPr="00950A9D" w:rsidDel="00950A9D">
        <w:rPr>
          <w:rStyle w:val="Hyperlink"/>
          <w:rFonts w:cs="Arial"/>
          <w:bCs/>
          <w:color w:val="auto"/>
          <w:u w:val="none"/>
        </w:rPr>
        <w:t xml:space="preserve"> </w:t>
      </w:r>
      <w:r w:rsidR="00003734" w:rsidRPr="00C547C0">
        <w:t>(NHMRC, 20</w:t>
      </w:r>
      <w:r w:rsidR="00D333C5">
        <w:t>18</w:t>
      </w:r>
      <w:r w:rsidR="00003734" w:rsidRPr="00C547C0">
        <w:t>)</w:t>
      </w:r>
    </w:p>
    <w:p w14:paraId="425E08E8" w14:textId="18043C63" w:rsidR="00003734" w:rsidRPr="00C547C0" w:rsidRDefault="00000000" w:rsidP="00F71763">
      <w:pPr>
        <w:pStyle w:val="DHHSbody"/>
        <w:numPr>
          <w:ilvl w:val="0"/>
          <w:numId w:val="16"/>
        </w:numPr>
      </w:pPr>
      <w:hyperlink r:id="rId23" w:history="1">
        <w:r w:rsidR="000B2B69">
          <w:rPr>
            <w:rStyle w:val="Hyperlink"/>
            <w:rFonts w:cs="Arial"/>
          </w:rPr>
          <w:t>Road map II</w:t>
        </w:r>
        <w:r w:rsidR="004C3751">
          <w:rPr>
            <w:rStyle w:val="Hyperlink"/>
            <w:rFonts w:cs="Arial"/>
          </w:rPr>
          <w:t>I</w:t>
        </w:r>
        <w:r w:rsidR="000B2B69">
          <w:rPr>
            <w:rStyle w:val="Hyperlink"/>
            <w:rFonts w:cs="Arial"/>
          </w:rPr>
          <w:t>: A strategic framework for improving the health of Aboriginal and Torres Strait Islander people through research</w:t>
        </w:r>
      </w:hyperlink>
      <w:r w:rsidR="009100CA" w:rsidRPr="001D29CE">
        <w:t xml:space="preserve"> </w:t>
      </w:r>
      <w:r w:rsidR="000B2B69" w:rsidRPr="000B2B69">
        <w:t>&lt;</w:t>
      </w:r>
      <w:r w:rsidR="004C3751" w:rsidRPr="004C3751">
        <w:t xml:space="preserve"> </w:t>
      </w:r>
      <w:r w:rsidR="00066D8E" w:rsidRPr="00066D8E">
        <w:t>https://www.nhmrc.gov.au/health-advice/aboriginal-and-torres-strait-islander-health/road-map-3</w:t>
      </w:r>
      <w:r w:rsidR="000B2B69" w:rsidRPr="000B2B69">
        <w:t>&gt; (NHMRC</w:t>
      </w:r>
      <w:r w:rsidR="00C67AE4">
        <w:t>,</w:t>
      </w:r>
      <w:r w:rsidR="000B2B69" w:rsidRPr="000B2B69">
        <w:t xml:space="preserve"> </w:t>
      </w:r>
      <w:r w:rsidR="004C3751" w:rsidRPr="000B2B69">
        <w:t>201</w:t>
      </w:r>
      <w:r w:rsidR="004C3751">
        <w:t>8</w:t>
      </w:r>
      <w:r w:rsidR="000B2B69" w:rsidRPr="000B2B69">
        <w:t>)</w:t>
      </w:r>
      <w:r w:rsidR="00110AB4">
        <w:t>.</w:t>
      </w:r>
    </w:p>
    <w:p w14:paraId="2C8886B9" w14:textId="7783A708" w:rsidR="00003734" w:rsidRPr="00D22C79" w:rsidRDefault="00003734" w:rsidP="008E75F4">
      <w:pPr>
        <w:pStyle w:val="Heading1"/>
      </w:pPr>
      <w:bookmarkStart w:id="36" w:name="_Toc480448544"/>
      <w:bookmarkStart w:id="37" w:name="_Toc508103067"/>
      <w:bookmarkStart w:id="38" w:name="_Toc509303560"/>
      <w:bookmarkStart w:id="39" w:name="_Toc136955694"/>
      <w:r w:rsidRPr="00D22C79">
        <w:t>2</w:t>
      </w:r>
      <w:r w:rsidRPr="00D22C79">
        <w:tab/>
      </w:r>
      <w:bookmarkEnd w:id="36"/>
      <w:bookmarkEnd w:id="37"/>
      <w:bookmarkEnd w:id="38"/>
      <w:r w:rsidR="008E75F4" w:rsidRPr="00D22C79">
        <w:t>C</w:t>
      </w:r>
      <w:r w:rsidR="009248FE">
        <w:t>ommercialisation</w:t>
      </w:r>
      <w:bookmarkEnd w:id="39"/>
    </w:p>
    <w:p w14:paraId="365F0D57" w14:textId="05D55596" w:rsidR="00003734" w:rsidRPr="00D22C79" w:rsidRDefault="00003734" w:rsidP="008E75F4">
      <w:pPr>
        <w:pStyle w:val="DHHSbody"/>
      </w:pPr>
      <w:r w:rsidRPr="00D22C79">
        <w:t xml:space="preserve">The commercialisation of research Intellectual Property under a </w:t>
      </w:r>
      <w:r>
        <w:t xml:space="preserve">VCA </w:t>
      </w:r>
      <w:r w:rsidRPr="00D22C79">
        <w:t xml:space="preserve">funding agreement means the exercise of any of the rights given to the owner of that Intellectual Property. Commercialisation options range </w:t>
      </w:r>
      <w:proofErr w:type="gramStart"/>
      <w:r w:rsidRPr="00D22C79">
        <w:t>from exclusive and non-exclusive licences,</w:t>
      </w:r>
      <w:proofErr w:type="gramEnd"/>
      <w:r w:rsidRPr="00D22C79">
        <w:t xml:space="preserve"> to research agreements or contracts through to joint ventures, to product supply or manufacture. The appropriate method and level of commercialisation a funded party is obliged to undertake will largely depend on the nature of the research project and the requirements of the individual funding agreement.</w:t>
      </w:r>
    </w:p>
    <w:p w14:paraId="778F93D3" w14:textId="77777777" w:rsidR="00003734" w:rsidRPr="00D22C79" w:rsidRDefault="00003734" w:rsidP="008E75F4">
      <w:pPr>
        <w:pStyle w:val="DHHSbody"/>
      </w:pPr>
      <w:r w:rsidRPr="00D22C79">
        <w:t>The VCA acknowledges that there is no single ‘best approach’ for commercialising research Intellectual Property, and that each case should be considered individually. The level and nature of commercialisation funded parties are obliged to undertake will depend on the nature of the research and the type of funding received from the VCA.</w:t>
      </w:r>
    </w:p>
    <w:p w14:paraId="5A2701F5" w14:textId="6F503090" w:rsidR="00003734" w:rsidRPr="00D22C79" w:rsidRDefault="00003734" w:rsidP="008E75F4">
      <w:pPr>
        <w:pStyle w:val="Heading2"/>
      </w:pPr>
      <w:bookmarkStart w:id="40" w:name="_Toc480448545"/>
      <w:bookmarkStart w:id="41" w:name="_Toc509303561"/>
      <w:bookmarkStart w:id="42" w:name="_Toc136955695"/>
      <w:r>
        <w:t>2.1</w:t>
      </w:r>
      <w:r w:rsidRPr="00D22C79">
        <w:tab/>
        <w:t xml:space="preserve">The </w:t>
      </w:r>
      <w:r w:rsidR="009248FE">
        <w:t>p</w:t>
      </w:r>
      <w:r w:rsidRPr="00D22C79">
        <w:t xml:space="preserve">urpose of </w:t>
      </w:r>
      <w:r w:rsidR="009248FE">
        <w:t>p</w:t>
      </w:r>
      <w:r w:rsidRPr="00D22C79">
        <w:t xml:space="preserve">romoting </w:t>
      </w:r>
      <w:r w:rsidR="009248FE">
        <w:t>c</w:t>
      </w:r>
      <w:r w:rsidRPr="00D22C79">
        <w:t>ommercialisation</w:t>
      </w:r>
      <w:bookmarkEnd w:id="40"/>
      <w:bookmarkEnd w:id="41"/>
      <w:bookmarkEnd w:id="42"/>
    </w:p>
    <w:p w14:paraId="2582FB08" w14:textId="77777777" w:rsidR="00003734" w:rsidRPr="00D22C79" w:rsidRDefault="00003734" w:rsidP="008E75F4">
      <w:pPr>
        <w:pStyle w:val="DHHSbody"/>
        <w:rPr>
          <w:b/>
          <w:bCs/>
        </w:rPr>
      </w:pPr>
      <w:r w:rsidRPr="00D22C79">
        <w:t xml:space="preserve">The primary purpose of promoting commercialisation under a </w:t>
      </w:r>
      <w:r>
        <w:t>VCA funding</w:t>
      </w:r>
      <w:r w:rsidRPr="00D22C79">
        <w:t xml:space="preserve"> agreement is to ensure that funding recipients recognise and assist the aim of the VCA in promoting, enhancing and facilitating cancer research and its translation to clinical practice to enable the delivery of evidence-based cancer services in Victoria. This translation of research into clinical practice and evidence-based services could be demonstrated through a range of outcomes such as:</w:t>
      </w:r>
    </w:p>
    <w:p w14:paraId="2CE53261" w14:textId="7C9BDA31" w:rsidR="00003734" w:rsidRPr="00D22C79" w:rsidRDefault="00E777DD" w:rsidP="009248FE">
      <w:pPr>
        <w:pStyle w:val="DHHSbullet1"/>
      </w:pPr>
      <w:r>
        <w:t>T</w:t>
      </w:r>
      <w:r w:rsidR="00003734" w:rsidRPr="00D22C79">
        <w:t>he enhancement of Victoria’s skill-base in ca</w:t>
      </w:r>
      <w:r w:rsidR="00003734">
        <w:t>ncer patient care and treatment</w:t>
      </w:r>
    </w:p>
    <w:p w14:paraId="6FCA9039" w14:textId="003ED7CE" w:rsidR="00003734" w:rsidRPr="00D22C79" w:rsidRDefault="00E777DD" w:rsidP="009248FE">
      <w:pPr>
        <w:pStyle w:val="DHHSbullet1"/>
      </w:pPr>
      <w:r>
        <w:t>T</w:t>
      </w:r>
      <w:r w:rsidR="00003734" w:rsidRPr="00D22C79">
        <w:t>he maintenance or establishment of Victoria as the home base for manufacture or</w:t>
      </w:r>
      <w:r w:rsidR="00003734">
        <w:t xml:space="preserve"> product development and supply</w:t>
      </w:r>
    </w:p>
    <w:p w14:paraId="490BC481" w14:textId="7062E1F6" w:rsidR="00003734" w:rsidRPr="00D22C79" w:rsidRDefault="00E777DD" w:rsidP="009248FE">
      <w:pPr>
        <w:pStyle w:val="DHHSbullet1"/>
      </w:pPr>
      <w:r>
        <w:lastRenderedPageBreak/>
        <w:t>C</w:t>
      </w:r>
      <w:r w:rsidR="00003734" w:rsidRPr="00D22C79">
        <w:t>onsumer and user benefits for the Victorian public through higher performance, higher quality, and cheaper products or services</w:t>
      </w:r>
    </w:p>
    <w:p w14:paraId="637E74FC" w14:textId="78D90038" w:rsidR="00003734" w:rsidRPr="005B5E05" w:rsidRDefault="007468A4" w:rsidP="009248FE">
      <w:pPr>
        <w:pStyle w:val="DHHSbullet1"/>
      </w:pPr>
      <w:r>
        <w:t>T</w:t>
      </w:r>
      <w:r w:rsidR="00003734" w:rsidRPr="005663D5">
        <w:t>he enhancement of state-wide medical resource security in relation to cancer care and treatment options.</w:t>
      </w:r>
    </w:p>
    <w:p w14:paraId="055AC583" w14:textId="77777777" w:rsidR="00003734" w:rsidRPr="00D22C79" w:rsidRDefault="00003734" w:rsidP="008E75F4">
      <w:pPr>
        <w:pStyle w:val="Heading2"/>
      </w:pPr>
      <w:bookmarkStart w:id="43" w:name="_Toc480448546"/>
      <w:bookmarkStart w:id="44" w:name="_Toc509303562"/>
      <w:bookmarkStart w:id="45" w:name="_Toc136955696"/>
      <w:r>
        <w:t>2.2</w:t>
      </w:r>
      <w:r w:rsidRPr="00D22C79">
        <w:tab/>
        <w:t xml:space="preserve">Commercialisation Obligations under a </w:t>
      </w:r>
      <w:r>
        <w:t>VCA</w:t>
      </w:r>
      <w:r w:rsidRPr="00D22C79">
        <w:t xml:space="preserve"> Agreement</w:t>
      </w:r>
      <w:bookmarkEnd w:id="43"/>
      <w:bookmarkEnd w:id="44"/>
      <w:bookmarkEnd w:id="45"/>
    </w:p>
    <w:p w14:paraId="0657DD87" w14:textId="1DD63913" w:rsidR="00003734" w:rsidRPr="00D22C79" w:rsidRDefault="00003734" w:rsidP="008E75F4">
      <w:pPr>
        <w:pStyle w:val="DHHSbody"/>
      </w:pPr>
      <w:r>
        <w:t>All</w:t>
      </w:r>
      <w:r w:rsidRPr="00D22C79">
        <w:t xml:space="preserve"> funding agreements for VCA funding programs will be through the Department of Health </w:t>
      </w:r>
      <w:r>
        <w:t>on behalf of</w:t>
      </w:r>
      <w:r w:rsidRPr="00D22C79">
        <w:t xml:space="preserve"> the VCA. In general, under a VCA funding agreement, funded parties have an obligation to commercialise their research Intellectual Property to a minimum standard (which is outlined in your individual funding agreement), and to do so in a way that ensures fair and reasonable access for the Victorian public to care and treatment benefits resulting from the research project Intellectual Property. This may include an obligation to ensure that the price or terms of supply of any product resulting from funded research are fair and reasonable in relation to ensuring access to any products by the Victorian public (depending on the nature of the research). For specific details on commercialisation requirements, please refer to your individual funding agreement.</w:t>
      </w:r>
    </w:p>
    <w:p w14:paraId="73DA3A97" w14:textId="073C56F6" w:rsidR="00003734" w:rsidRPr="00D22C79" w:rsidRDefault="00003734" w:rsidP="008E75F4">
      <w:pPr>
        <w:pStyle w:val="Heading2"/>
      </w:pPr>
      <w:bookmarkStart w:id="46" w:name="_Toc480448547"/>
      <w:bookmarkStart w:id="47" w:name="_Toc509303563"/>
      <w:bookmarkStart w:id="48" w:name="_Toc136955697"/>
      <w:r>
        <w:t>2.3</w:t>
      </w:r>
      <w:r w:rsidRPr="00D22C79">
        <w:tab/>
        <w:t xml:space="preserve">Manner of </w:t>
      </w:r>
      <w:r w:rsidR="009248FE">
        <w:t>c</w:t>
      </w:r>
      <w:r w:rsidRPr="00D22C79">
        <w:t>ommercialisation</w:t>
      </w:r>
      <w:bookmarkEnd w:id="46"/>
      <w:bookmarkEnd w:id="47"/>
      <w:bookmarkEnd w:id="48"/>
    </w:p>
    <w:p w14:paraId="160695B0" w14:textId="77777777" w:rsidR="00003734" w:rsidRPr="00D22C79" w:rsidRDefault="00003734" w:rsidP="008E75F4">
      <w:pPr>
        <w:pStyle w:val="DHHSbody"/>
      </w:pPr>
      <w:r w:rsidRPr="00D22C79">
        <w:rPr>
          <w:bCs/>
        </w:rPr>
        <w:t>Commercialisation</w:t>
      </w:r>
      <w:r w:rsidRPr="00D22C79">
        <w:t xml:space="preserve"> options that may be appropriate include:</w:t>
      </w:r>
    </w:p>
    <w:p w14:paraId="15A94AE5" w14:textId="01E18F94" w:rsidR="00003734" w:rsidRPr="00820CF9" w:rsidRDefault="007468A4" w:rsidP="009248FE">
      <w:pPr>
        <w:pStyle w:val="DHHSbullet1"/>
      </w:pPr>
      <w:r>
        <w:t>T</w:t>
      </w:r>
      <w:r w:rsidR="00003734" w:rsidRPr="00820CF9">
        <w:t>he manufacture, distribution, marketing, hire, sale, supply, import, export or other facilitation of the availabili</w:t>
      </w:r>
      <w:r w:rsidR="00003734">
        <w:t>ty of products to a third party</w:t>
      </w:r>
    </w:p>
    <w:p w14:paraId="1AAAF162" w14:textId="52C36381" w:rsidR="00003734" w:rsidRPr="00820CF9" w:rsidRDefault="007468A4" w:rsidP="009248FE">
      <w:pPr>
        <w:pStyle w:val="DHHSbullet1"/>
      </w:pPr>
      <w:r>
        <w:t>T</w:t>
      </w:r>
      <w:r w:rsidR="00003734" w:rsidRPr="00820CF9">
        <w:t>he offer to manufacture products or distribute, market, hire, sell, supply, import, export, or otherwise make avai</w:t>
      </w:r>
      <w:r w:rsidR="00003734">
        <w:t>lable products to a third party</w:t>
      </w:r>
    </w:p>
    <w:p w14:paraId="2AFB0D4D" w14:textId="54ADC1C0" w:rsidR="00003734" w:rsidRPr="00820CF9" w:rsidRDefault="007468A4" w:rsidP="009248FE">
      <w:pPr>
        <w:pStyle w:val="DHHSbullet1"/>
      </w:pPr>
      <w:r>
        <w:t>T</w:t>
      </w:r>
      <w:r w:rsidR="00003734" w:rsidRPr="00820CF9">
        <w:t>he provision or offer of a commercial service to a third party which is based on or uses the products or the</w:t>
      </w:r>
      <w:r w:rsidR="00003734">
        <w:t xml:space="preserve"> research Intellectual Property</w:t>
      </w:r>
    </w:p>
    <w:p w14:paraId="7C3A0E7F" w14:textId="6DE1CF31" w:rsidR="00003734" w:rsidRPr="00820CF9" w:rsidRDefault="007468A4" w:rsidP="007468A4">
      <w:pPr>
        <w:pStyle w:val="DHHSbullet1"/>
        <w:numPr>
          <w:ilvl w:val="0"/>
          <w:numId w:val="0"/>
        </w:numPr>
        <w:ind w:left="284"/>
      </w:pPr>
      <w:r>
        <w:t>L</w:t>
      </w:r>
      <w:r w:rsidR="00003734" w:rsidRPr="00820CF9">
        <w:t>icensing or other authorisation of a third part</w:t>
      </w:r>
      <w:r w:rsidR="00003734">
        <w:t>y to undertake any of the above</w:t>
      </w:r>
    </w:p>
    <w:p w14:paraId="5A4B21EF" w14:textId="61BC8CD6" w:rsidR="00003734" w:rsidRPr="00820CF9" w:rsidRDefault="007468A4" w:rsidP="009248FE">
      <w:pPr>
        <w:pStyle w:val="DHHSbullet1"/>
      </w:pPr>
      <w:r>
        <w:t>T</w:t>
      </w:r>
      <w:r w:rsidR="00003734" w:rsidRPr="00820CF9">
        <w:t>he patenting or trade marking, or other formal registration and protection of any research Project Intellectual Property</w:t>
      </w:r>
    </w:p>
    <w:p w14:paraId="0F61BB26" w14:textId="0AFB8273" w:rsidR="00003734" w:rsidRPr="00820CF9" w:rsidRDefault="007468A4" w:rsidP="009248FE">
      <w:pPr>
        <w:pStyle w:val="DHHSbullet1"/>
      </w:pPr>
      <w:r>
        <w:t>T</w:t>
      </w:r>
      <w:r w:rsidR="00003734" w:rsidRPr="00820CF9">
        <w:t>he publication of the research Intellectual Property or any work in connection with the research project.</w:t>
      </w:r>
    </w:p>
    <w:p w14:paraId="335554CE" w14:textId="3A50E2E1" w:rsidR="00003734" w:rsidRPr="00D22C79" w:rsidRDefault="00003734" w:rsidP="008E75F4">
      <w:pPr>
        <w:pStyle w:val="Heading2"/>
      </w:pPr>
      <w:bookmarkStart w:id="49" w:name="_Toc480448548"/>
      <w:bookmarkStart w:id="50" w:name="_Toc509303564"/>
      <w:bookmarkStart w:id="51" w:name="_Toc136955698"/>
      <w:r w:rsidRPr="00D22C79">
        <w:t>2.</w:t>
      </w:r>
      <w:r>
        <w:t>4</w:t>
      </w:r>
      <w:r w:rsidRPr="00D22C79">
        <w:tab/>
        <w:t xml:space="preserve">Commercialisation </w:t>
      </w:r>
      <w:r w:rsidR="009248FE">
        <w:t>c</w:t>
      </w:r>
      <w:r w:rsidRPr="00D22C79">
        <w:t>onsiderations</w:t>
      </w:r>
      <w:bookmarkEnd w:id="49"/>
      <w:bookmarkEnd w:id="50"/>
      <w:bookmarkEnd w:id="51"/>
    </w:p>
    <w:p w14:paraId="6BA33EEC" w14:textId="77777777" w:rsidR="00003734" w:rsidRPr="00D22C79" w:rsidRDefault="00003734" w:rsidP="008E75F4">
      <w:pPr>
        <w:pStyle w:val="DHHSbody"/>
      </w:pPr>
      <w:r w:rsidRPr="00D22C79">
        <w:t xml:space="preserve">The </w:t>
      </w:r>
      <w:r w:rsidRPr="00D22C79">
        <w:rPr>
          <w:bCs/>
        </w:rPr>
        <w:t>VCA</w:t>
      </w:r>
      <w:r w:rsidRPr="00D22C79">
        <w:t xml:space="preserve"> does not wish to impact on the ability of a funded party to publish their research. However, in considering commercialisation options for Intellectual Property, the VCA requests that funded parties pay due consideration to:</w:t>
      </w:r>
    </w:p>
    <w:p w14:paraId="70B1C6A3" w14:textId="33425005" w:rsidR="00003734" w:rsidRPr="00820CF9" w:rsidRDefault="007468A4" w:rsidP="009248FE">
      <w:pPr>
        <w:pStyle w:val="DHHSbullet1"/>
      </w:pPr>
      <w:r>
        <w:t>T</w:t>
      </w:r>
      <w:r w:rsidR="00003734" w:rsidRPr="00820CF9">
        <w:t>he possibility that publication or disclosure might preclude the grant of a patent or cause the los</w:t>
      </w:r>
      <w:r w:rsidR="00003734">
        <w:t>s of that Intellectual Property</w:t>
      </w:r>
    </w:p>
    <w:p w14:paraId="6F1E526C" w14:textId="3162EDCA" w:rsidR="00003734" w:rsidRPr="00820CF9" w:rsidRDefault="007468A4" w:rsidP="009248FE">
      <w:pPr>
        <w:pStyle w:val="DHHSbullet1"/>
      </w:pPr>
      <w:r>
        <w:t>T</w:t>
      </w:r>
      <w:r w:rsidR="00003734" w:rsidRPr="00820CF9">
        <w:t>heir obligation to ensure that commercialisation results in increased cancer patient care and treatment ou</w:t>
      </w:r>
      <w:r w:rsidR="00003734">
        <w:t>tcomes for the Victorian public</w:t>
      </w:r>
    </w:p>
    <w:p w14:paraId="794CF922" w14:textId="7B0E8CBF" w:rsidR="00003734" w:rsidRPr="00820CF9" w:rsidRDefault="00B244C5" w:rsidP="009248FE">
      <w:pPr>
        <w:pStyle w:val="DHHSbullet1"/>
      </w:pPr>
      <w:r>
        <w:t>T</w:t>
      </w:r>
      <w:r w:rsidR="00003734" w:rsidRPr="00820CF9">
        <w:t xml:space="preserve">he requirement of fair and reasonable access to the Victorian public to resulting care and treatment benefits. </w:t>
      </w:r>
    </w:p>
    <w:p w14:paraId="67617427" w14:textId="77777777" w:rsidR="00B326B1" w:rsidRDefault="00B326B1">
      <w:pPr>
        <w:rPr>
          <w:rFonts w:ascii="Arial" w:hAnsi="Arial"/>
          <w:bCs/>
          <w:color w:val="004C97"/>
          <w:sz w:val="44"/>
          <w:szCs w:val="44"/>
        </w:rPr>
      </w:pPr>
      <w:bookmarkStart w:id="52" w:name="_Toc255988297"/>
      <w:bookmarkStart w:id="53" w:name="_Toc361385439"/>
      <w:bookmarkStart w:id="54" w:name="_Toc480448549"/>
      <w:bookmarkStart w:id="55" w:name="_Toc508103068"/>
      <w:bookmarkStart w:id="56" w:name="_Toc509303565"/>
      <w:bookmarkStart w:id="57" w:name="_Toc136955699"/>
      <w:r>
        <w:br w:type="page"/>
      </w:r>
    </w:p>
    <w:p w14:paraId="18FE8FF4" w14:textId="733C3245" w:rsidR="00003734" w:rsidRPr="008E75F4" w:rsidRDefault="00003734" w:rsidP="008E75F4">
      <w:pPr>
        <w:pStyle w:val="Heading1"/>
        <w:rPr>
          <w:sz w:val="20"/>
        </w:rPr>
      </w:pPr>
      <w:r w:rsidRPr="00D22C79">
        <w:lastRenderedPageBreak/>
        <w:t>3</w:t>
      </w:r>
      <w:r w:rsidRPr="00D22C79">
        <w:tab/>
        <w:t>I</w:t>
      </w:r>
      <w:r w:rsidR="009248FE">
        <w:t>ntellectual property</w:t>
      </w:r>
      <w:bookmarkEnd w:id="52"/>
      <w:bookmarkEnd w:id="53"/>
      <w:bookmarkEnd w:id="54"/>
      <w:bookmarkEnd w:id="55"/>
      <w:bookmarkEnd w:id="56"/>
      <w:bookmarkEnd w:id="57"/>
      <w:r w:rsidRPr="00D22C79">
        <w:rPr>
          <w:sz w:val="20"/>
        </w:rPr>
        <w:t xml:space="preserve"> </w:t>
      </w:r>
    </w:p>
    <w:p w14:paraId="78E54E31" w14:textId="0B6A2863" w:rsidR="00003734" w:rsidRPr="00D22C79" w:rsidRDefault="00003734" w:rsidP="008E75F4">
      <w:pPr>
        <w:pStyle w:val="DHHSbody"/>
      </w:pPr>
      <w:r w:rsidRPr="00D22C79">
        <w:t xml:space="preserve">Intellectual Property </w:t>
      </w:r>
      <w:r w:rsidR="00D618B5">
        <w:t>refers to the various rights which the law accords for the protection of creative effort</w:t>
      </w:r>
      <w:r w:rsidRPr="00D22C79">
        <w:t>.</w:t>
      </w:r>
      <w:r w:rsidRPr="00D22C79">
        <w:rPr>
          <w:rStyle w:val="FootnoteReference"/>
          <w:rFonts w:cs="Arial"/>
        </w:rPr>
        <w:footnoteReference w:id="2"/>
      </w:r>
      <w:r w:rsidRPr="00D22C79">
        <w:t xml:space="preserve"> Examples of Intellectual Property include patents, trademarks, designs, confidential information or trade secrets, plant breeder’s rights and circuit layout rights. Intellectual Property may result from activities undertaken pursuant to research funding.</w:t>
      </w:r>
    </w:p>
    <w:p w14:paraId="0FF5A3BE" w14:textId="7DA09BA1" w:rsidR="00003734" w:rsidRPr="00D22C79" w:rsidRDefault="00003734" w:rsidP="008E75F4">
      <w:pPr>
        <w:pStyle w:val="Heading2"/>
      </w:pPr>
      <w:bookmarkStart w:id="58" w:name="_Toc480448550"/>
      <w:bookmarkStart w:id="59" w:name="_Toc509303566"/>
      <w:bookmarkStart w:id="60" w:name="_Toc136955700"/>
      <w:r w:rsidRPr="00D22C79">
        <w:t>3.</w:t>
      </w:r>
      <w:r>
        <w:t>1</w:t>
      </w:r>
      <w:r w:rsidRPr="00D22C79">
        <w:tab/>
        <w:t xml:space="preserve">Publicly </w:t>
      </w:r>
      <w:r w:rsidR="009248FE">
        <w:t>f</w:t>
      </w:r>
      <w:r w:rsidRPr="00D22C79">
        <w:t xml:space="preserve">unded </w:t>
      </w:r>
      <w:r w:rsidR="009248FE">
        <w:t>r</w:t>
      </w:r>
      <w:r w:rsidRPr="00D22C79">
        <w:t xml:space="preserve">esearch and </w:t>
      </w:r>
      <w:r w:rsidR="009248FE">
        <w:t>i</w:t>
      </w:r>
      <w:r w:rsidRPr="00D22C79">
        <w:t xml:space="preserve">ntellectual </w:t>
      </w:r>
      <w:r w:rsidR="009248FE">
        <w:t>p</w:t>
      </w:r>
      <w:r w:rsidRPr="00D22C79">
        <w:t>roperty</w:t>
      </w:r>
      <w:bookmarkEnd w:id="58"/>
      <w:bookmarkEnd w:id="59"/>
      <w:bookmarkEnd w:id="60"/>
    </w:p>
    <w:p w14:paraId="5D975FE7" w14:textId="77777777" w:rsidR="00003734" w:rsidRPr="00D22C79" w:rsidRDefault="00003734" w:rsidP="008E75F4">
      <w:pPr>
        <w:pStyle w:val="DHHSbody"/>
      </w:pPr>
      <w:r w:rsidRPr="00D22C79">
        <w:t>Intellectual Property rights and obligations contained in agreements for publicly funded research differ according to the aims and charter of the funding body. For example, if the central aim of the funding body is to promote and encourage research within a particular field, there may be no Intellectual Property obligations for the researcher other than providing a copy of research findings to the funding organisation.</w:t>
      </w:r>
    </w:p>
    <w:p w14:paraId="1346FD62" w14:textId="77777777" w:rsidR="00003734" w:rsidRPr="00D22C79" w:rsidRDefault="00003734" w:rsidP="008E75F4">
      <w:pPr>
        <w:pStyle w:val="DHHSbody"/>
      </w:pPr>
      <w:r w:rsidRPr="00D22C79">
        <w:t>The ultimate aim of the VCA is to improve cancer patient care and outcomes. The VCA aims to promote, enhance and facilitate cancer research and its translation into clinical practice to improve the delivery of evidence-based cancer services in Victoria. This is the rationale behind the standard Intellectual Property clause in VCA agreements.</w:t>
      </w:r>
    </w:p>
    <w:p w14:paraId="257351A0" w14:textId="7E109AC5" w:rsidR="00003734" w:rsidRPr="00D22C79" w:rsidRDefault="00003734" w:rsidP="008E75F4">
      <w:pPr>
        <w:pStyle w:val="Heading2"/>
      </w:pPr>
      <w:bookmarkStart w:id="61" w:name="_Toc480448551"/>
      <w:bookmarkStart w:id="62" w:name="_Toc509303567"/>
      <w:bookmarkStart w:id="63" w:name="_Toc136955701"/>
      <w:r>
        <w:t>3.2</w:t>
      </w:r>
      <w:r w:rsidRPr="00D22C79">
        <w:tab/>
        <w:t xml:space="preserve">The </w:t>
      </w:r>
      <w:r w:rsidR="009248FE">
        <w:t>c</w:t>
      </w:r>
      <w:r w:rsidRPr="00D22C79">
        <w:t xml:space="preserve">ommercialisation of </w:t>
      </w:r>
      <w:r w:rsidR="009248FE">
        <w:t>i</w:t>
      </w:r>
      <w:r w:rsidRPr="00D22C79">
        <w:t xml:space="preserve">ntellectual </w:t>
      </w:r>
      <w:r w:rsidR="009248FE">
        <w:t>p</w:t>
      </w:r>
      <w:r w:rsidRPr="00D22C79">
        <w:t>roperty</w:t>
      </w:r>
      <w:bookmarkEnd w:id="61"/>
      <w:bookmarkEnd w:id="62"/>
      <w:bookmarkEnd w:id="63"/>
      <w:r w:rsidRPr="00D22C79">
        <w:t xml:space="preserve"> </w:t>
      </w:r>
    </w:p>
    <w:p w14:paraId="540F235E" w14:textId="2E7A79EC" w:rsidR="00003734" w:rsidRPr="00D22C79" w:rsidRDefault="00003734" w:rsidP="008E75F4">
      <w:pPr>
        <w:pStyle w:val="DHHSbody"/>
        <w:rPr>
          <w:b/>
          <w:bCs/>
        </w:rPr>
      </w:pPr>
      <w:r w:rsidRPr="00D22C79">
        <w:t>The VCA’s funding agreements contain unique provisions to encourage the commercialisation and publication of research Intellectual Property. The VCA’s funding agreements also require that this commercialisation occurs in a manner that results in fair and reasonable access for the Victorian public to knowledge, techniques, products or other benefits which stem directly or indirectly from funded research. These provisions exist to ensure that the VCA meets its aim of enabling the delivery of evidence-based improvements to the care of Victorian</w:t>
      </w:r>
      <w:r w:rsidR="00883D2F">
        <w:t>s diagnosed with</w:t>
      </w:r>
      <w:r w:rsidRPr="00D22C79">
        <w:t xml:space="preserve"> cancer.</w:t>
      </w:r>
    </w:p>
    <w:p w14:paraId="63CCA87C" w14:textId="0EF31EC6" w:rsidR="00003734" w:rsidRPr="00D22C79" w:rsidRDefault="00003734" w:rsidP="008E75F4">
      <w:pPr>
        <w:pStyle w:val="Heading2"/>
      </w:pPr>
      <w:bookmarkStart w:id="64" w:name="_Toc480448552"/>
      <w:bookmarkStart w:id="65" w:name="_Toc509303568"/>
      <w:bookmarkStart w:id="66" w:name="_Toc136955702"/>
      <w:r>
        <w:t>3.3</w:t>
      </w:r>
      <w:r w:rsidRPr="00D22C79">
        <w:tab/>
        <w:t xml:space="preserve">Intellectual </w:t>
      </w:r>
      <w:r w:rsidR="009248FE">
        <w:t>p</w:t>
      </w:r>
      <w:r w:rsidRPr="00D22C79">
        <w:t xml:space="preserve">roperty </w:t>
      </w:r>
      <w:r w:rsidR="009248FE">
        <w:t>r</w:t>
      </w:r>
      <w:r w:rsidRPr="00D22C79">
        <w:t xml:space="preserve">ights and </w:t>
      </w:r>
      <w:r w:rsidR="009248FE">
        <w:t>o</w:t>
      </w:r>
      <w:r w:rsidRPr="00D22C79">
        <w:t>bligations</w:t>
      </w:r>
      <w:bookmarkEnd w:id="64"/>
      <w:bookmarkEnd w:id="65"/>
      <w:bookmarkEnd w:id="66"/>
      <w:r w:rsidRPr="00D22C79">
        <w:t xml:space="preserve"> </w:t>
      </w:r>
    </w:p>
    <w:p w14:paraId="3D6886FF" w14:textId="77777777" w:rsidR="00003734" w:rsidRPr="00D22C79" w:rsidRDefault="00003734" w:rsidP="008E75F4">
      <w:pPr>
        <w:pStyle w:val="DHHSbody"/>
      </w:pPr>
      <w:r w:rsidRPr="00D22C79">
        <w:t>The VCA strives to adhere to industry best practice in relation to Intellectual Property management, whilst ensuring funded research meets the aims of the VCA, as follows:</w:t>
      </w:r>
    </w:p>
    <w:p w14:paraId="6E0FB854" w14:textId="5A922058" w:rsidR="00003734" w:rsidRPr="00820CF9" w:rsidRDefault="00003734" w:rsidP="008E75F4">
      <w:pPr>
        <w:pStyle w:val="Heading3"/>
      </w:pPr>
      <w:bookmarkStart w:id="67" w:name="_Toc480448553"/>
      <w:bookmarkStart w:id="68" w:name="_Toc509303569"/>
      <w:r w:rsidRPr="00820CF9">
        <w:t>3.3.1</w:t>
      </w:r>
      <w:r w:rsidRPr="00820CF9">
        <w:tab/>
        <w:t xml:space="preserve">Ownership of </w:t>
      </w:r>
      <w:r w:rsidR="009248FE">
        <w:t>i</w:t>
      </w:r>
      <w:r w:rsidRPr="00820CF9">
        <w:t xml:space="preserve">ntellectual </w:t>
      </w:r>
      <w:r w:rsidR="009248FE">
        <w:t>p</w:t>
      </w:r>
      <w:r w:rsidRPr="00820CF9">
        <w:t>roperty</w:t>
      </w:r>
      <w:bookmarkEnd w:id="67"/>
      <w:bookmarkEnd w:id="68"/>
    </w:p>
    <w:p w14:paraId="6C1F6A98" w14:textId="2E97AC6D" w:rsidR="00003734" w:rsidRPr="00D22C79" w:rsidRDefault="00003734" w:rsidP="008E75F4">
      <w:pPr>
        <w:pStyle w:val="DHHSbody"/>
      </w:pPr>
      <w:r w:rsidRPr="00D22C79">
        <w:t xml:space="preserve">Currently, the VCA does not seek ownership of any Intellectual Property owned by funded parties. Under VCA agreements, funded parties retain ownership of their Intellectual Property. This policy is in line with industry best practice for the management of Intellectual Property for publicly funded research. In the case of fellowship and scholarship agreements, Intellectual Property ownership is determined according to the rules of the organisation where the recipients are </w:t>
      </w:r>
      <w:r w:rsidR="001939DA" w:rsidRPr="00D22C79">
        <w:t>employed,</w:t>
      </w:r>
      <w:r w:rsidRPr="00D22C79">
        <w:t xml:space="preserve"> or which will administer the funding. </w:t>
      </w:r>
    </w:p>
    <w:p w14:paraId="0C4941A2" w14:textId="632B0652" w:rsidR="00003734" w:rsidRPr="00820CF9" w:rsidRDefault="00003734" w:rsidP="008E75F4">
      <w:pPr>
        <w:pStyle w:val="Heading3"/>
      </w:pPr>
      <w:bookmarkStart w:id="69" w:name="_Toc480448554"/>
      <w:bookmarkStart w:id="70" w:name="_Toc509303570"/>
      <w:r w:rsidRPr="00820CF9">
        <w:t>3.3.2</w:t>
      </w:r>
      <w:r w:rsidRPr="00820CF9">
        <w:tab/>
        <w:t xml:space="preserve">Third </w:t>
      </w:r>
      <w:r w:rsidR="009248FE">
        <w:t>p</w:t>
      </w:r>
      <w:r w:rsidRPr="00820CF9">
        <w:t xml:space="preserve">arty </w:t>
      </w:r>
      <w:r w:rsidR="009248FE">
        <w:t>r</w:t>
      </w:r>
      <w:r w:rsidRPr="00820CF9">
        <w:t>ights</w:t>
      </w:r>
      <w:bookmarkEnd w:id="69"/>
      <w:bookmarkEnd w:id="70"/>
    </w:p>
    <w:p w14:paraId="7167936E" w14:textId="69A7D7B9" w:rsidR="00003734" w:rsidRPr="00D22C79" w:rsidRDefault="00003734" w:rsidP="008E75F4">
      <w:pPr>
        <w:pStyle w:val="DHHSbody"/>
      </w:pPr>
      <w:r w:rsidRPr="00D22C79">
        <w:t>Funded parties are required to warrant under their funding agreement that their use of Background Intellectual Property</w:t>
      </w:r>
      <w:r w:rsidRPr="00D22C79">
        <w:rPr>
          <w:rStyle w:val="FootnoteReference"/>
          <w:rFonts w:cs="Arial"/>
        </w:rPr>
        <w:footnoteReference w:id="3"/>
      </w:r>
      <w:r w:rsidRPr="00D22C79">
        <w:t xml:space="preserve"> will not infringe the Intellectual Property rights of a third party, and to indemnify the State against any loss or damage which may occur as a breach of this warranty. As such, </w:t>
      </w:r>
      <w:r w:rsidR="005C424A">
        <w:t>A</w:t>
      </w:r>
      <w:r w:rsidRPr="00D22C79">
        <w:t xml:space="preserve">pplicants are encouraged to assess and identify the status of any </w:t>
      </w:r>
      <w:r w:rsidR="004F1F29" w:rsidRPr="00D22C79">
        <w:t>third</w:t>
      </w:r>
      <w:r w:rsidR="004F1F29">
        <w:t xml:space="preserve"> </w:t>
      </w:r>
      <w:r w:rsidR="004F1F29" w:rsidRPr="00D22C79">
        <w:t>party</w:t>
      </w:r>
      <w:r w:rsidR="001C5EA2">
        <w:t>.</w:t>
      </w:r>
      <w:r w:rsidRPr="00D22C79">
        <w:t xml:space="preserve"> Background Intellectual Property intended for use in their </w:t>
      </w:r>
      <w:r w:rsidR="004F1F29" w:rsidRPr="00D22C79">
        <w:t>research and</w:t>
      </w:r>
      <w:r w:rsidRPr="00D22C79">
        <w:t xml:space="preserve"> obtain relevant clearances.</w:t>
      </w:r>
    </w:p>
    <w:p w14:paraId="2D8FC9EA" w14:textId="61807A8B" w:rsidR="00003734" w:rsidRPr="00820CF9" w:rsidRDefault="00003734" w:rsidP="008E75F4">
      <w:pPr>
        <w:pStyle w:val="Heading3"/>
      </w:pPr>
      <w:bookmarkStart w:id="71" w:name="_Toc480448555"/>
      <w:bookmarkStart w:id="72" w:name="_Toc509303571"/>
      <w:r w:rsidRPr="00820CF9">
        <w:lastRenderedPageBreak/>
        <w:t>3.3.3</w:t>
      </w:r>
      <w:r w:rsidRPr="00820CF9">
        <w:tab/>
        <w:t xml:space="preserve">Licensing of </w:t>
      </w:r>
      <w:r w:rsidR="009248FE">
        <w:t>i</w:t>
      </w:r>
      <w:r w:rsidRPr="00820CF9">
        <w:t xml:space="preserve">ntellectual </w:t>
      </w:r>
      <w:r w:rsidR="009248FE">
        <w:t>p</w:t>
      </w:r>
      <w:r w:rsidRPr="00820CF9">
        <w:t>roperty</w:t>
      </w:r>
      <w:bookmarkEnd w:id="71"/>
      <w:bookmarkEnd w:id="72"/>
    </w:p>
    <w:p w14:paraId="0041DFAB" w14:textId="77777777" w:rsidR="00003734" w:rsidRPr="00D22C79" w:rsidRDefault="00003734" w:rsidP="008E75F4">
      <w:pPr>
        <w:pStyle w:val="DHHSbody"/>
      </w:pPr>
      <w:r w:rsidRPr="00D22C79">
        <w:t>Funded parties must provide the VCA with a licence over the research project Intellectual Property for the VCA’s internal operations and for general publicity purposes only. This licence is non-exclusive, worldwide, perpetual, irrevocable and royalty free. In some instances, this licence may include Background Intellectual Property in so far as it is necessary to include this in order for the VCA to properly access the research Intellectual Property for internal operations and general publicity or reporting.</w:t>
      </w:r>
    </w:p>
    <w:p w14:paraId="7A2E456F" w14:textId="6871F2C7" w:rsidR="00003734" w:rsidRPr="00820CF9" w:rsidRDefault="00003734" w:rsidP="008E75F4">
      <w:pPr>
        <w:pStyle w:val="Heading3"/>
      </w:pPr>
      <w:bookmarkStart w:id="73" w:name="_Toc480448556"/>
      <w:bookmarkStart w:id="74" w:name="_Toc509303572"/>
      <w:r w:rsidRPr="00820CF9">
        <w:t>3.3.4</w:t>
      </w:r>
      <w:r w:rsidRPr="00820CF9">
        <w:tab/>
        <w:t xml:space="preserve">Internal </w:t>
      </w:r>
      <w:r w:rsidR="009248FE">
        <w:t>o</w:t>
      </w:r>
      <w:r w:rsidRPr="00820CF9">
        <w:t xml:space="preserve">perations and </w:t>
      </w:r>
      <w:r w:rsidR="009248FE">
        <w:t>g</w:t>
      </w:r>
      <w:r w:rsidRPr="00820CF9">
        <w:t xml:space="preserve">eneral </w:t>
      </w:r>
      <w:r w:rsidR="009248FE">
        <w:t>p</w:t>
      </w:r>
      <w:r w:rsidRPr="00820CF9">
        <w:t xml:space="preserve">ublicity </w:t>
      </w:r>
      <w:r w:rsidR="009248FE">
        <w:t>p</w:t>
      </w:r>
      <w:r w:rsidRPr="00820CF9">
        <w:t>urposes</w:t>
      </w:r>
      <w:bookmarkEnd w:id="73"/>
      <w:bookmarkEnd w:id="74"/>
    </w:p>
    <w:p w14:paraId="5C2ABADF" w14:textId="18A567D2" w:rsidR="00003734" w:rsidRPr="00D22C79" w:rsidRDefault="00003734" w:rsidP="008E75F4">
      <w:pPr>
        <w:pStyle w:val="DHHSbody"/>
      </w:pPr>
      <w:r w:rsidRPr="00D22C79">
        <w:t xml:space="preserve">The licence described in 3.3.3 above does not allow the VCA to make commercial use of research Intellectual Property. In utilising this licence for their internal operations, the VCA may, for example, use the Intellectual Property for administrative purposes such as record keeping, and assessment of research progress. In utilising this licence for general publicity purposes, the VCA may, for example, release general information about the award title, administering institution, research project title and funding recipients in media releases or on the VCA website, but may not release confidential information regarding the research or the </w:t>
      </w:r>
      <w:r w:rsidR="00322D78">
        <w:t>A</w:t>
      </w:r>
      <w:r w:rsidRPr="00D22C79">
        <w:t>pplicant.</w:t>
      </w:r>
    </w:p>
    <w:p w14:paraId="6E4FD580" w14:textId="20D6179A" w:rsidR="00003734" w:rsidRPr="00820CF9" w:rsidRDefault="00003734" w:rsidP="008E75F4">
      <w:pPr>
        <w:pStyle w:val="Heading3"/>
      </w:pPr>
      <w:bookmarkStart w:id="75" w:name="_Toc480448557"/>
      <w:bookmarkStart w:id="76" w:name="_Toc509303573"/>
      <w:r>
        <w:t>3.3.5</w:t>
      </w:r>
      <w:r w:rsidRPr="00820CF9">
        <w:tab/>
        <w:t xml:space="preserve">Licensing on </w:t>
      </w:r>
      <w:r w:rsidR="009248FE">
        <w:t>d</w:t>
      </w:r>
      <w:r w:rsidRPr="00820CF9">
        <w:t xml:space="preserve">efault of </w:t>
      </w:r>
      <w:r w:rsidR="009248FE">
        <w:t>c</w:t>
      </w:r>
      <w:r w:rsidRPr="00820CF9">
        <w:t xml:space="preserve">ommercialisation </w:t>
      </w:r>
      <w:r w:rsidR="009248FE">
        <w:t>r</w:t>
      </w:r>
      <w:r w:rsidRPr="00820CF9">
        <w:t>equirements</w:t>
      </w:r>
      <w:bookmarkEnd w:id="75"/>
      <w:bookmarkEnd w:id="76"/>
    </w:p>
    <w:p w14:paraId="07BE7D33" w14:textId="7FB90ACB" w:rsidR="00003734" w:rsidRPr="00D22C79" w:rsidRDefault="00003734" w:rsidP="008E75F4">
      <w:pPr>
        <w:pStyle w:val="DHHSbody"/>
      </w:pPr>
      <w:r w:rsidRPr="00D22C79">
        <w:t>If a funded party does not reach the minimum commercialisation requirements outlined in their funding agreement</w:t>
      </w:r>
      <w:r w:rsidR="000D53E3">
        <w:t xml:space="preserve"> </w:t>
      </w:r>
      <w:r w:rsidRPr="00D22C79">
        <w:t>and does not have an alternative VCA-approved commercialisation scheme in place or a satisfactory explanation for failure to encourage or facilitate the commercialisation of the research Intellectual Property, a licence may be invoked by the VCA which permits the VCA to commercialise a funded party’s research Intellectual Property.</w:t>
      </w:r>
    </w:p>
    <w:p w14:paraId="31D5BE02" w14:textId="77777777" w:rsidR="00003734" w:rsidRPr="00D22C79" w:rsidRDefault="00003734" w:rsidP="008E75F4">
      <w:pPr>
        <w:pStyle w:val="DHHSbody"/>
      </w:pPr>
      <w:r w:rsidRPr="00D22C79">
        <w:t>The VCA’s interest in licensing research Intellectual Property on default of commercialisation is directly connected to the interest of the Victorian public in the translation of funded research into improved cancer patient care and outcomes.</w:t>
      </w:r>
    </w:p>
    <w:p w14:paraId="6FE71A35" w14:textId="77777777" w:rsidR="00003734" w:rsidRPr="00D22C79" w:rsidRDefault="00003734" w:rsidP="008E75F4">
      <w:pPr>
        <w:pStyle w:val="DHHSbody"/>
      </w:pPr>
      <w:r w:rsidRPr="00D22C79">
        <w:t>The above licence can be invoked by the VCA in the event of failure by the funded party either to commercialise or to commercialise in the prescribed manner</w:t>
      </w:r>
      <w:r w:rsidRPr="00D22C79">
        <w:rPr>
          <w:rStyle w:val="FootnoteReference"/>
          <w:rFonts w:cs="Arial"/>
        </w:rPr>
        <w:footnoteReference w:id="4"/>
      </w:r>
      <w:r w:rsidRPr="00D22C79">
        <w:t>.</w:t>
      </w:r>
    </w:p>
    <w:p w14:paraId="0FE54809" w14:textId="5E734FFC" w:rsidR="00003734" w:rsidRPr="00820CF9" w:rsidRDefault="00003734" w:rsidP="008E75F4">
      <w:pPr>
        <w:pStyle w:val="Heading3"/>
      </w:pPr>
      <w:bookmarkStart w:id="77" w:name="_Toc480448558"/>
      <w:bookmarkStart w:id="78" w:name="_Toc509303574"/>
      <w:r w:rsidRPr="00820CF9">
        <w:t>3.3.6</w:t>
      </w:r>
      <w:r w:rsidRPr="00820CF9">
        <w:tab/>
        <w:t xml:space="preserve">Exemptions from </w:t>
      </w:r>
      <w:r w:rsidR="009C1A33">
        <w:t>l</w:t>
      </w:r>
      <w:r w:rsidRPr="00820CF9">
        <w:t xml:space="preserve">icensing on </w:t>
      </w:r>
      <w:r w:rsidR="009C1A33">
        <w:t>d</w:t>
      </w:r>
      <w:r w:rsidRPr="00820CF9">
        <w:t xml:space="preserve">efault of </w:t>
      </w:r>
      <w:r w:rsidR="009C1A33">
        <w:t>c</w:t>
      </w:r>
      <w:r w:rsidRPr="00820CF9">
        <w:t>ommercialisation</w:t>
      </w:r>
      <w:bookmarkEnd w:id="77"/>
      <w:bookmarkEnd w:id="78"/>
    </w:p>
    <w:p w14:paraId="6A094095" w14:textId="78C785FB" w:rsidR="00003734" w:rsidRPr="00D22C79" w:rsidRDefault="00003734" w:rsidP="008E75F4">
      <w:pPr>
        <w:pStyle w:val="DHHSbody"/>
      </w:pPr>
      <w:r w:rsidRPr="00D22C79">
        <w:t>VCA agreements may also contain provisions which prevent the VCA from invoking this licence in specific circumstances where its existence would impede commercialisation,</w:t>
      </w:r>
      <w:r w:rsidRPr="00D22C79">
        <w:rPr>
          <w:rStyle w:val="FootnoteReference"/>
          <w:rFonts w:cs="Arial"/>
        </w:rPr>
        <w:footnoteReference w:id="5"/>
      </w:r>
      <w:r w:rsidRPr="00D22C79">
        <w:t xml:space="preserve"> or where the funded party can provide a satisfactory explanation for failure to comply with minimum commercialisation requirements</w:t>
      </w:r>
      <w:r w:rsidR="000D3C49">
        <w:t>.</w:t>
      </w:r>
      <w:r w:rsidRPr="00D22C79">
        <w:rPr>
          <w:rStyle w:val="CommentReference"/>
          <w:rFonts w:cs="Arial"/>
          <w:vanish/>
        </w:rPr>
        <w:t>.</w:t>
      </w:r>
    </w:p>
    <w:p w14:paraId="7FFF809F" w14:textId="0BA26C02" w:rsidR="00003734" w:rsidRPr="00D22C79" w:rsidRDefault="00003734" w:rsidP="008E75F4">
      <w:pPr>
        <w:pStyle w:val="Heading2"/>
      </w:pPr>
      <w:bookmarkStart w:id="79" w:name="_Toc480448559"/>
      <w:bookmarkStart w:id="80" w:name="_Toc509303575"/>
      <w:bookmarkStart w:id="81" w:name="_Toc136955703"/>
      <w:r>
        <w:t>3.4</w:t>
      </w:r>
      <w:r w:rsidRPr="00D22C79">
        <w:tab/>
        <w:t xml:space="preserve">Industry </w:t>
      </w:r>
      <w:r w:rsidR="009C1A33">
        <w:t>b</w:t>
      </w:r>
      <w:r w:rsidRPr="00D22C79">
        <w:t xml:space="preserve">est </w:t>
      </w:r>
      <w:r w:rsidR="009C1A33">
        <w:t>p</w:t>
      </w:r>
      <w:r w:rsidRPr="00D22C79">
        <w:t>ractice</w:t>
      </w:r>
      <w:bookmarkEnd w:id="79"/>
      <w:bookmarkEnd w:id="80"/>
      <w:bookmarkEnd w:id="81"/>
    </w:p>
    <w:p w14:paraId="07F65491" w14:textId="77777777" w:rsidR="00003734" w:rsidRPr="00820CF9" w:rsidRDefault="00003734" w:rsidP="008E75F4">
      <w:pPr>
        <w:pStyle w:val="DHHSbody"/>
      </w:pPr>
      <w:r w:rsidRPr="00D22C79">
        <w:t>In addition to meeting contractual requirements for the management of research Intellectual Property, the VCA expects funded parties to maintain an awareness of industry best practice in relation to maximising and promoting clinically relevant practices and the development of therapeutics for cancer treatment.</w:t>
      </w:r>
    </w:p>
    <w:p w14:paraId="1016FB72" w14:textId="3DEB317D" w:rsidR="00003734" w:rsidRPr="00D22C79" w:rsidRDefault="00003734" w:rsidP="008E75F4">
      <w:pPr>
        <w:pStyle w:val="Heading1"/>
      </w:pPr>
      <w:bookmarkStart w:id="82" w:name="_Toc480448560"/>
      <w:bookmarkStart w:id="83" w:name="_Toc508103069"/>
      <w:bookmarkStart w:id="84" w:name="_Toc509303576"/>
      <w:bookmarkStart w:id="85" w:name="_Toc136955704"/>
      <w:r w:rsidRPr="00D22C79">
        <w:lastRenderedPageBreak/>
        <w:t xml:space="preserve">4 </w:t>
      </w:r>
      <w:r w:rsidRPr="00D22C79">
        <w:tab/>
        <w:t>C</w:t>
      </w:r>
      <w:r w:rsidR="009C1A33">
        <w:t>onfidentiality</w:t>
      </w:r>
      <w:bookmarkEnd w:id="82"/>
      <w:bookmarkEnd w:id="83"/>
      <w:bookmarkEnd w:id="84"/>
      <w:bookmarkEnd w:id="85"/>
    </w:p>
    <w:p w14:paraId="5CB903CD" w14:textId="3E5861F9" w:rsidR="00003734" w:rsidRDefault="00003734" w:rsidP="008E75F4">
      <w:pPr>
        <w:pStyle w:val="DHHSbody"/>
      </w:pPr>
      <w:r w:rsidRPr="00D22C79">
        <w:t>The VCA funding agreements contain provisions which protect contracting parties from the disclosure of confidential information. Neither the VCA (nor the Department of Health) nor the funded party can divulge confidential information regarding the other party. This mutual undertaking assists in ensuring the protection of research Intellectual Property and other confidential information.</w:t>
      </w:r>
    </w:p>
    <w:p w14:paraId="40D3C2F0" w14:textId="73509C44" w:rsidR="00003734" w:rsidRPr="00D22C79" w:rsidRDefault="00003734" w:rsidP="008E75F4">
      <w:pPr>
        <w:pStyle w:val="Heading2"/>
      </w:pPr>
      <w:bookmarkStart w:id="86" w:name="_Toc480448561"/>
      <w:bookmarkStart w:id="87" w:name="_Toc509303577"/>
      <w:bookmarkStart w:id="88" w:name="_Toc136955705"/>
      <w:r>
        <w:t>4.1</w:t>
      </w:r>
      <w:r w:rsidRPr="00D22C79">
        <w:tab/>
        <w:t xml:space="preserve">Confidential </w:t>
      </w:r>
      <w:r w:rsidR="009C1A33">
        <w:t>i</w:t>
      </w:r>
      <w:r w:rsidRPr="00D22C79">
        <w:t>nformation</w:t>
      </w:r>
      <w:bookmarkEnd w:id="86"/>
      <w:bookmarkEnd w:id="87"/>
      <w:bookmarkEnd w:id="88"/>
    </w:p>
    <w:p w14:paraId="16EA4782" w14:textId="26CD72C6" w:rsidR="00003734" w:rsidRPr="00D22C79" w:rsidRDefault="00003734" w:rsidP="008E75F4">
      <w:pPr>
        <w:pStyle w:val="DHHSbody"/>
      </w:pPr>
      <w:r w:rsidRPr="00D22C79">
        <w:t xml:space="preserve">Confidential information is broadly described as including all information and materials, in any form, which come into a party’s possession about the other party pursuant to, or as a result of, a funding agreement. It excludes information which was already in a party’s knowledge or in the public domain, information which subsequently reaches the public domain by means other than disclosure under the agreement, and information which was received and provided lawfully by a third </w:t>
      </w:r>
      <w:r w:rsidR="0010657B" w:rsidRPr="00D22C79">
        <w:t>party, or</w:t>
      </w:r>
      <w:r w:rsidRPr="00D22C79">
        <w:t xml:space="preserve"> is required by law to be disclosed.</w:t>
      </w:r>
    </w:p>
    <w:p w14:paraId="34C6034B" w14:textId="71E27311" w:rsidR="00003734" w:rsidRPr="00D22C79" w:rsidRDefault="00003734" w:rsidP="008E75F4">
      <w:pPr>
        <w:pStyle w:val="Heading2"/>
      </w:pPr>
      <w:bookmarkStart w:id="89" w:name="_Toc480448562"/>
      <w:bookmarkStart w:id="90" w:name="_Toc509303578"/>
      <w:bookmarkStart w:id="91" w:name="_Toc136955706"/>
      <w:r w:rsidRPr="00D22C79">
        <w:t>4.2</w:t>
      </w:r>
      <w:r w:rsidRPr="00D22C79">
        <w:tab/>
        <w:t xml:space="preserve">The Victorian Cancer Agency’s </w:t>
      </w:r>
      <w:r w:rsidR="009C1A33">
        <w:t>r</w:t>
      </w:r>
      <w:r w:rsidRPr="00D22C79">
        <w:t xml:space="preserve">ight to </w:t>
      </w:r>
      <w:r w:rsidR="009C1A33">
        <w:t>p</w:t>
      </w:r>
      <w:r w:rsidRPr="00D22C79">
        <w:t xml:space="preserve">ublicise the </w:t>
      </w:r>
      <w:r w:rsidR="009C1A33">
        <w:t>a</w:t>
      </w:r>
      <w:r w:rsidRPr="00D22C79">
        <w:t xml:space="preserve">ward of </w:t>
      </w:r>
      <w:r w:rsidR="009C1A33">
        <w:t>f</w:t>
      </w:r>
      <w:r w:rsidRPr="00D22C79">
        <w:t>unding</w:t>
      </w:r>
      <w:bookmarkEnd w:id="89"/>
      <w:bookmarkEnd w:id="90"/>
      <w:bookmarkEnd w:id="91"/>
    </w:p>
    <w:p w14:paraId="2B792F83" w14:textId="3E8400D1" w:rsidR="00003734" w:rsidRPr="00D22C79" w:rsidRDefault="00003734" w:rsidP="008E75F4">
      <w:pPr>
        <w:pStyle w:val="DHHSbody"/>
      </w:pPr>
      <w:r w:rsidRPr="00D22C79">
        <w:t xml:space="preserve">The VCA reserves the right to publicise and report on the award of </w:t>
      </w:r>
      <w:r w:rsidR="00C2598E" w:rsidRPr="00D22C79">
        <w:t>funding and</w:t>
      </w:r>
      <w:r w:rsidRPr="00D22C79">
        <w:t xml:space="preserve"> may do so by including general information about the administering institution, researchers, funds, and a brief description of the project, as provided by the </w:t>
      </w:r>
      <w:r w:rsidR="00322D78">
        <w:t>A</w:t>
      </w:r>
      <w:r w:rsidRPr="00D22C79">
        <w:t xml:space="preserve">pplicant in their </w:t>
      </w:r>
      <w:proofErr w:type="gramStart"/>
      <w:r w:rsidRPr="00D22C79">
        <w:t>lay-summary</w:t>
      </w:r>
      <w:proofErr w:type="gramEnd"/>
      <w:r w:rsidRPr="00D22C79">
        <w:t xml:space="preserve">. The VCA may publish the findings in any publication of its choice. This may </w:t>
      </w:r>
      <w:proofErr w:type="gramStart"/>
      <w:r w:rsidRPr="00D22C79">
        <w:t>include:</w:t>
      </w:r>
      <w:proofErr w:type="gramEnd"/>
      <w:r w:rsidRPr="00D22C79">
        <w:t xml:space="preserve"> media releases, general announcements about the funding and in annual reports or publication on the web. Funded parties must ensure that information contained in the project title and summaries would not, if released, compromise their own requirements for confidentiality (such as future protection of Intellectual Property).</w:t>
      </w:r>
    </w:p>
    <w:p w14:paraId="63207134" w14:textId="51C4E91D" w:rsidR="00003734" w:rsidRPr="00D22C79" w:rsidRDefault="00003734" w:rsidP="008E75F4">
      <w:pPr>
        <w:pStyle w:val="Heading2"/>
      </w:pPr>
      <w:bookmarkStart w:id="92" w:name="_Toc480448563"/>
      <w:bookmarkStart w:id="93" w:name="_Toc509303579"/>
      <w:bookmarkStart w:id="94" w:name="_Toc136955707"/>
      <w:r w:rsidRPr="00D22C79">
        <w:t>4.3</w:t>
      </w:r>
      <w:r w:rsidRPr="00D22C79">
        <w:tab/>
        <w:t xml:space="preserve">Written </w:t>
      </w:r>
      <w:r w:rsidR="009C1A33">
        <w:t>p</w:t>
      </w:r>
      <w:r w:rsidRPr="00D22C79">
        <w:t>ermissions</w:t>
      </w:r>
      <w:bookmarkEnd w:id="92"/>
      <w:bookmarkEnd w:id="93"/>
      <w:bookmarkEnd w:id="94"/>
    </w:p>
    <w:p w14:paraId="6EA3D611" w14:textId="77777777" w:rsidR="00003734" w:rsidRPr="00D22C79" w:rsidRDefault="00003734" w:rsidP="008E75F4">
      <w:pPr>
        <w:pStyle w:val="DHHSbody"/>
        <w:rPr>
          <w:bCs/>
        </w:rPr>
      </w:pPr>
      <w:r w:rsidRPr="00D22C79">
        <w:t xml:space="preserve">A party to a funding agreement may make an application to another contracted party for permission to disclose confidential information. Such permission must be granted in writing. For example, if the VCA wishes to publish information about, or otherwise publicise, </w:t>
      </w:r>
      <w:proofErr w:type="gramStart"/>
      <w:r w:rsidRPr="00D22C79">
        <w:t>a research</w:t>
      </w:r>
      <w:proofErr w:type="gramEnd"/>
      <w:r w:rsidRPr="00D22C79">
        <w:t xml:space="preserve"> finding by a funded party which is categorised confidential information under a funding agreement, the VCA must first seek permission from the funded </w:t>
      </w:r>
      <w:r w:rsidR="008E75F4" w:rsidRPr="00D22C79">
        <w:t>party and</w:t>
      </w:r>
      <w:r w:rsidRPr="00D22C79">
        <w:t xml:space="preserve"> receive such permission in writing.</w:t>
      </w:r>
    </w:p>
    <w:p w14:paraId="1E5845E3" w14:textId="77777777" w:rsidR="00003734" w:rsidRPr="00D22C79" w:rsidRDefault="00003734" w:rsidP="008E75F4">
      <w:pPr>
        <w:pStyle w:val="Heading2"/>
      </w:pPr>
      <w:bookmarkStart w:id="95" w:name="_Toc480448564"/>
      <w:bookmarkStart w:id="96" w:name="_Toc509303580"/>
      <w:bookmarkStart w:id="97" w:name="_Toc136955708"/>
      <w:r w:rsidRPr="00D22C79">
        <w:t>4.4</w:t>
      </w:r>
      <w:r w:rsidRPr="00D22C79">
        <w:tab/>
        <w:t>Privacy</w:t>
      </w:r>
      <w:bookmarkEnd w:id="95"/>
      <w:bookmarkEnd w:id="96"/>
      <w:bookmarkEnd w:id="97"/>
    </w:p>
    <w:p w14:paraId="3B7DC4BF" w14:textId="142948B0" w:rsidR="00003734" w:rsidRPr="00D22C79" w:rsidRDefault="00003734" w:rsidP="008E75F4">
      <w:pPr>
        <w:pStyle w:val="DHHSbody"/>
      </w:pPr>
      <w:r w:rsidRPr="00D22C79">
        <w:t xml:space="preserve">Funded parties are required to comply with relevant privacy legislation, including the </w:t>
      </w:r>
      <w:hyperlink r:id="rId24" w:history="1">
        <w:r w:rsidRPr="00D22C79">
          <w:rPr>
            <w:rStyle w:val="Hyperlink"/>
            <w:rFonts w:cs="Arial"/>
            <w:i/>
            <w:iCs/>
          </w:rPr>
          <w:t>Privacy and Data Protection</w:t>
        </w:r>
        <w:r w:rsidR="004E4694">
          <w:rPr>
            <w:rStyle w:val="Hyperlink"/>
            <w:rFonts w:cs="Arial"/>
            <w:i/>
            <w:iCs/>
          </w:rPr>
          <w:t> </w:t>
        </w:r>
        <w:r w:rsidRPr="00D22C79">
          <w:rPr>
            <w:rStyle w:val="Hyperlink"/>
            <w:rFonts w:cs="Arial"/>
            <w:i/>
            <w:iCs/>
          </w:rPr>
          <w:t>Act</w:t>
        </w:r>
      </w:hyperlink>
      <w:r w:rsidR="004E4694">
        <w:t> </w:t>
      </w:r>
      <w:r w:rsidRPr="00D22C79">
        <w:t>(Vic)</w:t>
      </w:r>
      <w:r w:rsidR="00BA4263">
        <w:t> </w:t>
      </w:r>
      <w:r w:rsidRPr="00D22C79">
        <w:t>2014</w:t>
      </w:r>
      <w:r w:rsidR="00BA4263">
        <w:t> </w:t>
      </w:r>
      <w:r w:rsidR="000B2B69">
        <w:t>&lt;http://www6.austlii.edu.au/cgi</w:t>
      </w:r>
      <w:r w:rsidR="00BA4263">
        <w:noBreakHyphen/>
      </w:r>
      <w:r w:rsidR="000B2B69">
        <w:t>bin/viewdb/au/legis/vic/num_act/padpa201460o2014317/&gt;</w:t>
      </w:r>
      <w:r w:rsidR="004E4694">
        <w:t> </w:t>
      </w:r>
      <w:r w:rsidRPr="00D22C79">
        <w:t>and</w:t>
      </w:r>
      <w:r w:rsidR="004E4694">
        <w:t> </w:t>
      </w:r>
      <w:r w:rsidRPr="00D22C79">
        <w:t>the</w:t>
      </w:r>
      <w:r w:rsidR="004E4694">
        <w:t> </w:t>
      </w:r>
      <w:hyperlink r:id="rId25" w:history="1">
        <w:r w:rsidRPr="00D22C79">
          <w:rPr>
            <w:rStyle w:val="Hyperlink"/>
            <w:rFonts w:cs="Arial"/>
            <w:i/>
            <w:iCs/>
          </w:rPr>
          <w:t>Health</w:t>
        </w:r>
        <w:r w:rsidR="004E4694">
          <w:rPr>
            <w:rStyle w:val="Hyperlink"/>
            <w:rFonts w:cs="Arial"/>
            <w:i/>
            <w:iCs/>
          </w:rPr>
          <w:t> </w:t>
        </w:r>
        <w:r w:rsidRPr="00D22C79">
          <w:rPr>
            <w:rStyle w:val="Hyperlink"/>
            <w:rFonts w:cs="Arial"/>
            <w:i/>
            <w:iCs/>
          </w:rPr>
          <w:t>Records</w:t>
        </w:r>
        <w:r w:rsidR="004E4694">
          <w:rPr>
            <w:rStyle w:val="Hyperlink"/>
            <w:rFonts w:cs="Arial"/>
            <w:i/>
            <w:iCs/>
          </w:rPr>
          <w:t> </w:t>
        </w:r>
        <w:r w:rsidRPr="00D22C79">
          <w:rPr>
            <w:rStyle w:val="Hyperlink"/>
            <w:rFonts w:cs="Arial"/>
            <w:i/>
            <w:iCs/>
          </w:rPr>
          <w:t>Act</w:t>
        </w:r>
      </w:hyperlink>
      <w:r w:rsidR="004E4694">
        <w:t> </w:t>
      </w:r>
      <w:r w:rsidRPr="00D22C79">
        <w:t>(Vic)</w:t>
      </w:r>
      <w:r w:rsidR="004E4694">
        <w:t> </w:t>
      </w:r>
      <w:r w:rsidRPr="00D22C79">
        <w:t>2001</w:t>
      </w:r>
      <w:r w:rsidR="004E4694">
        <w:t> </w:t>
      </w:r>
      <w:r w:rsidR="00DA20B0">
        <w:t>&lt;</w:t>
      </w:r>
      <w:r w:rsidR="00DA20B0" w:rsidRPr="00DA20B0">
        <w:t>h</w:t>
      </w:r>
      <w:r w:rsidR="00DA20B0" w:rsidRPr="00DA20B0">
        <w:t>ttp://www6.austlii.edu.au/cgi</w:t>
      </w:r>
      <w:r w:rsidR="004E4694">
        <w:noBreakHyphen/>
      </w:r>
      <w:r w:rsidR="00DA20B0" w:rsidRPr="00DA20B0">
        <w:t>bin/viewdb/au/legis/vic/consol_act/hra2001144/</w:t>
      </w:r>
      <w:r w:rsidR="00DA20B0">
        <w:t>&gt;</w:t>
      </w:r>
      <w:r w:rsidRPr="00D22C79">
        <w:t>.</w:t>
      </w:r>
    </w:p>
    <w:p w14:paraId="62F19E77" w14:textId="731109B2" w:rsidR="00003734" w:rsidRPr="00D22C79" w:rsidRDefault="00003734" w:rsidP="008E75F4">
      <w:pPr>
        <w:pStyle w:val="Heading1"/>
      </w:pPr>
      <w:bookmarkStart w:id="98" w:name="_Toc480448565"/>
      <w:bookmarkStart w:id="99" w:name="_Toc508103070"/>
      <w:bookmarkStart w:id="100" w:name="_Toc509303581"/>
      <w:bookmarkStart w:id="101" w:name="_Toc136955709"/>
      <w:r w:rsidRPr="00D22C79">
        <w:t>5</w:t>
      </w:r>
      <w:r w:rsidRPr="00D22C79">
        <w:tab/>
        <w:t>R</w:t>
      </w:r>
      <w:r w:rsidR="009C1A33">
        <w:t>eporting requirements</w:t>
      </w:r>
      <w:bookmarkEnd w:id="98"/>
      <w:bookmarkEnd w:id="99"/>
      <w:bookmarkEnd w:id="100"/>
      <w:bookmarkEnd w:id="101"/>
    </w:p>
    <w:p w14:paraId="6A591538" w14:textId="77777777" w:rsidR="00003734" w:rsidRPr="00D22C79" w:rsidRDefault="00003734" w:rsidP="008E75F4">
      <w:pPr>
        <w:pStyle w:val="DHHSbody"/>
      </w:pPr>
      <w:r w:rsidRPr="00D22C79">
        <w:t>The VCA’s funding agreements require funded parties to provide the VCA with reports in relation to the funded research.</w:t>
      </w:r>
    </w:p>
    <w:p w14:paraId="768FE4F3" w14:textId="1EE69BDF" w:rsidR="00003734" w:rsidRPr="00D22C79" w:rsidRDefault="00003734" w:rsidP="008E75F4">
      <w:pPr>
        <w:pStyle w:val="Heading2"/>
      </w:pPr>
      <w:bookmarkStart w:id="102" w:name="_Toc480448566"/>
      <w:bookmarkStart w:id="103" w:name="_Toc509303582"/>
      <w:bookmarkStart w:id="104" w:name="_Toc136955710"/>
      <w:r>
        <w:lastRenderedPageBreak/>
        <w:t>5.1</w:t>
      </w:r>
      <w:r w:rsidRPr="00D22C79">
        <w:tab/>
        <w:t xml:space="preserve">The </w:t>
      </w:r>
      <w:r w:rsidR="009C1A33">
        <w:t>n</w:t>
      </w:r>
      <w:r w:rsidRPr="00D22C79">
        <w:t xml:space="preserve">ature and </w:t>
      </w:r>
      <w:r w:rsidR="009C1A33">
        <w:t>f</w:t>
      </w:r>
      <w:r w:rsidRPr="00D22C79">
        <w:t xml:space="preserve">requency of </w:t>
      </w:r>
      <w:r w:rsidR="009C1A33">
        <w:t>r</w:t>
      </w:r>
      <w:r w:rsidRPr="00D22C79">
        <w:t>eporting</w:t>
      </w:r>
      <w:bookmarkEnd w:id="102"/>
      <w:bookmarkEnd w:id="103"/>
      <w:bookmarkEnd w:id="104"/>
    </w:p>
    <w:p w14:paraId="094F35CB" w14:textId="77777777" w:rsidR="00003734" w:rsidRPr="00756183" w:rsidRDefault="00003734" w:rsidP="0085707F">
      <w:pPr>
        <w:pStyle w:val="DHHSbody"/>
        <w:rPr>
          <w:color w:val="000000"/>
        </w:rPr>
      </w:pPr>
      <w:r w:rsidRPr="00D22C79">
        <w:t>The frequency with which parties are required to report depends on the nature of the funding and the provisions of the individual funding agreement</w:t>
      </w:r>
      <w:r>
        <w:t>. However,</w:t>
      </w:r>
      <w:r w:rsidRPr="00D22C79" w:rsidDel="00F24A88">
        <w:t xml:space="preserve"> </w:t>
      </w:r>
      <w:r>
        <w:rPr>
          <w:color w:val="000000"/>
        </w:rPr>
        <w:t>t</w:t>
      </w:r>
      <w:r w:rsidRPr="00756183">
        <w:rPr>
          <w:color w:val="000000"/>
        </w:rPr>
        <w:t xml:space="preserve">he </w:t>
      </w:r>
      <w:r>
        <w:rPr>
          <w:color w:val="000000"/>
        </w:rPr>
        <w:t xml:space="preserve">general </w:t>
      </w:r>
      <w:r w:rsidRPr="00756183">
        <w:rPr>
          <w:color w:val="000000"/>
        </w:rPr>
        <w:t xml:space="preserve">reporting schedule is </w:t>
      </w:r>
      <w:r>
        <w:rPr>
          <w:color w:val="000000"/>
        </w:rPr>
        <w:t>summarised</w:t>
      </w:r>
      <w:r w:rsidRPr="00756183">
        <w:rPr>
          <w:color w:val="000000"/>
        </w:rPr>
        <w:t xml:space="preserve"> in the following table</w:t>
      </w:r>
      <w:r>
        <w:rPr>
          <w:color w:val="000000"/>
        </w:rPr>
        <w:t xml:space="preserve"> and detailed below</w:t>
      </w:r>
      <w:r w:rsidRPr="00756183">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313"/>
        <w:gridCol w:w="4399"/>
      </w:tblGrid>
      <w:tr w:rsidR="00003734" w:rsidRPr="00756183" w14:paraId="33748784" w14:textId="77777777" w:rsidTr="000D3C49">
        <w:trPr>
          <w:trHeight w:val="454"/>
          <w:jc w:val="center"/>
        </w:trPr>
        <w:tc>
          <w:tcPr>
            <w:tcW w:w="3024" w:type="dxa"/>
            <w:shd w:val="clear" w:color="auto" w:fill="E0E0E0"/>
            <w:vAlign w:val="center"/>
          </w:tcPr>
          <w:p w14:paraId="3ECF556F" w14:textId="77777777" w:rsidR="00003734" w:rsidRPr="00756183" w:rsidRDefault="00003734" w:rsidP="009C1A33">
            <w:pPr>
              <w:pStyle w:val="DHHStablecolhead"/>
            </w:pPr>
            <w:r w:rsidRPr="00756183">
              <w:t>Report</w:t>
            </w:r>
          </w:p>
        </w:tc>
        <w:tc>
          <w:tcPr>
            <w:tcW w:w="0" w:type="auto"/>
            <w:shd w:val="clear" w:color="auto" w:fill="E0E0E0"/>
            <w:vAlign w:val="center"/>
          </w:tcPr>
          <w:p w14:paraId="330D4F01" w14:textId="77777777" w:rsidR="00003734" w:rsidRPr="00756183" w:rsidRDefault="00003734" w:rsidP="009C1A33">
            <w:pPr>
              <w:pStyle w:val="DHHStablecolhead"/>
            </w:pPr>
            <w:r w:rsidRPr="00756183">
              <w:t>Reporting frequency</w:t>
            </w:r>
          </w:p>
        </w:tc>
        <w:tc>
          <w:tcPr>
            <w:tcW w:w="4399" w:type="dxa"/>
            <w:shd w:val="clear" w:color="auto" w:fill="E0E0E0"/>
            <w:vAlign w:val="center"/>
          </w:tcPr>
          <w:p w14:paraId="209C9E60" w14:textId="77777777" w:rsidR="00003734" w:rsidRPr="00756183" w:rsidRDefault="00003734" w:rsidP="009C1A33">
            <w:pPr>
              <w:pStyle w:val="DHHStablecolhead"/>
            </w:pPr>
            <w:r w:rsidRPr="00756183">
              <w:t>Due</w:t>
            </w:r>
          </w:p>
        </w:tc>
      </w:tr>
      <w:tr w:rsidR="00003734" w:rsidRPr="00756183" w14:paraId="0453643C" w14:textId="77777777" w:rsidTr="000D3C49">
        <w:trPr>
          <w:trHeight w:val="454"/>
          <w:jc w:val="center"/>
        </w:trPr>
        <w:tc>
          <w:tcPr>
            <w:tcW w:w="3024" w:type="dxa"/>
            <w:shd w:val="clear" w:color="auto" w:fill="auto"/>
          </w:tcPr>
          <w:p w14:paraId="187FA71A" w14:textId="77777777" w:rsidR="00003734" w:rsidRPr="00756183" w:rsidRDefault="00003734" w:rsidP="000C147B">
            <w:pPr>
              <w:pStyle w:val="DHHStabletext"/>
            </w:pPr>
            <w:r w:rsidRPr="00756183">
              <w:t>Progress against milestones and/or targets</w:t>
            </w:r>
          </w:p>
        </w:tc>
        <w:tc>
          <w:tcPr>
            <w:tcW w:w="0" w:type="auto"/>
            <w:shd w:val="clear" w:color="auto" w:fill="auto"/>
          </w:tcPr>
          <w:p w14:paraId="743A433E" w14:textId="77777777" w:rsidR="00003734" w:rsidRPr="00756183" w:rsidRDefault="00003734" w:rsidP="000C147B">
            <w:pPr>
              <w:pStyle w:val="DHHStabletext"/>
            </w:pPr>
            <w:r w:rsidRPr="00756183">
              <w:t>6-monthly</w:t>
            </w:r>
          </w:p>
        </w:tc>
        <w:tc>
          <w:tcPr>
            <w:tcW w:w="4399" w:type="dxa"/>
            <w:shd w:val="clear" w:color="auto" w:fill="auto"/>
          </w:tcPr>
          <w:p w14:paraId="7A32A791" w14:textId="77777777" w:rsidR="00003734" w:rsidRPr="00756183" w:rsidRDefault="00003734" w:rsidP="000C147B">
            <w:pPr>
              <w:pStyle w:val="DHHStabletext"/>
            </w:pPr>
            <w:r w:rsidRPr="00756183">
              <w:t>Every 6 months from receipt of funds</w:t>
            </w:r>
          </w:p>
        </w:tc>
      </w:tr>
      <w:tr w:rsidR="00003734" w:rsidRPr="00756183" w14:paraId="6C81D079" w14:textId="77777777" w:rsidTr="000D3C49">
        <w:trPr>
          <w:trHeight w:val="454"/>
          <w:jc w:val="center"/>
        </w:trPr>
        <w:tc>
          <w:tcPr>
            <w:tcW w:w="3024" w:type="dxa"/>
            <w:shd w:val="clear" w:color="auto" w:fill="auto"/>
          </w:tcPr>
          <w:p w14:paraId="0E38FD55" w14:textId="77777777" w:rsidR="00003734" w:rsidRPr="00756183" w:rsidRDefault="00003734" w:rsidP="000C147B">
            <w:pPr>
              <w:pStyle w:val="DHHStabletext"/>
            </w:pPr>
            <w:r w:rsidRPr="00756183">
              <w:t>Financial reports (to be included in progress report)</w:t>
            </w:r>
          </w:p>
        </w:tc>
        <w:tc>
          <w:tcPr>
            <w:tcW w:w="0" w:type="auto"/>
            <w:shd w:val="clear" w:color="auto" w:fill="auto"/>
          </w:tcPr>
          <w:p w14:paraId="3B5B6DD0" w14:textId="77777777" w:rsidR="00003734" w:rsidRPr="00756183" w:rsidRDefault="00003734" w:rsidP="000C147B">
            <w:pPr>
              <w:pStyle w:val="DHHStabletext"/>
            </w:pPr>
            <w:r w:rsidRPr="00756183">
              <w:t>Annually</w:t>
            </w:r>
          </w:p>
        </w:tc>
        <w:tc>
          <w:tcPr>
            <w:tcW w:w="4399" w:type="dxa"/>
            <w:shd w:val="clear" w:color="auto" w:fill="auto"/>
          </w:tcPr>
          <w:p w14:paraId="3D90866D" w14:textId="77777777" w:rsidR="00003734" w:rsidRPr="00756183" w:rsidRDefault="00003734" w:rsidP="000C147B">
            <w:pPr>
              <w:pStyle w:val="DHHStabletext"/>
            </w:pPr>
            <w:r w:rsidRPr="00756183">
              <w:t>Every 12 months from receipt of funds</w:t>
            </w:r>
          </w:p>
        </w:tc>
      </w:tr>
      <w:tr w:rsidR="00003734" w:rsidRPr="00756183" w14:paraId="50070630" w14:textId="77777777" w:rsidTr="000D3C49">
        <w:trPr>
          <w:trHeight w:val="454"/>
          <w:jc w:val="center"/>
        </w:trPr>
        <w:tc>
          <w:tcPr>
            <w:tcW w:w="3024" w:type="dxa"/>
            <w:shd w:val="clear" w:color="auto" w:fill="auto"/>
          </w:tcPr>
          <w:p w14:paraId="4B2799BB" w14:textId="77777777" w:rsidR="00003734" w:rsidRPr="00756183" w:rsidRDefault="00003734" w:rsidP="000C147B">
            <w:pPr>
              <w:pStyle w:val="DHHStabletext"/>
            </w:pPr>
            <w:r w:rsidRPr="00756183">
              <w:t>Final report</w:t>
            </w:r>
          </w:p>
        </w:tc>
        <w:tc>
          <w:tcPr>
            <w:tcW w:w="0" w:type="auto"/>
            <w:shd w:val="clear" w:color="auto" w:fill="auto"/>
          </w:tcPr>
          <w:p w14:paraId="49418ACD" w14:textId="77777777" w:rsidR="00003734" w:rsidRPr="00756183" w:rsidRDefault="00003734" w:rsidP="000C147B">
            <w:pPr>
              <w:pStyle w:val="DHHStabletext"/>
            </w:pPr>
            <w:r w:rsidRPr="00756183">
              <w:t>Once only</w:t>
            </w:r>
          </w:p>
        </w:tc>
        <w:tc>
          <w:tcPr>
            <w:tcW w:w="4399" w:type="dxa"/>
            <w:shd w:val="clear" w:color="auto" w:fill="auto"/>
          </w:tcPr>
          <w:p w14:paraId="7276BB94" w14:textId="77777777" w:rsidR="00003734" w:rsidRPr="00756183" w:rsidRDefault="00003734" w:rsidP="000C147B">
            <w:pPr>
              <w:pStyle w:val="DHHStabletext"/>
            </w:pPr>
            <w:r w:rsidRPr="00756183">
              <w:t>At project completion</w:t>
            </w:r>
          </w:p>
        </w:tc>
      </w:tr>
      <w:tr w:rsidR="00003734" w:rsidRPr="00756183" w14:paraId="52174D45" w14:textId="77777777" w:rsidTr="000D3C49">
        <w:trPr>
          <w:trHeight w:val="454"/>
          <w:jc w:val="center"/>
        </w:trPr>
        <w:tc>
          <w:tcPr>
            <w:tcW w:w="3024" w:type="dxa"/>
            <w:shd w:val="clear" w:color="auto" w:fill="auto"/>
          </w:tcPr>
          <w:p w14:paraId="38854F28" w14:textId="77777777" w:rsidR="00003734" w:rsidRPr="00756183" w:rsidRDefault="00003734" w:rsidP="000C147B">
            <w:pPr>
              <w:pStyle w:val="DHHStabletext"/>
            </w:pPr>
            <w:r w:rsidRPr="00756183">
              <w:t>5-year report</w:t>
            </w:r>
          </w:p>
        </w:tc>
        <w:tc>
          <w:tcPr>
            <w:tcW w:w="0" w:type="auto"/>
            <w:shd w:val="clear" w:color="auto" w:fill="auto"/>
          </w:tcPr>
          <w:p w14:paraId="6D3A84B3" w14:textId="77777777" w:rsidR="00003734" w:rsidRPr="00756183" w:rsidRDefault="00003734" w:rsidP="000C147B">
            <w:pPr>
              <w:pStyle w:val="DHHStabletext"/>
            </w:pPr>
            <w:r w:rsidRPr="00756183">
              <w:t>Once only</w:t>
            </w:r>
          </w:p>
        </w:tc>
        <w:tc>
          <w:tcPr>
            <w:tcW w:w="4399" w:type="dxa"/>
            <w:shd w:val="clear" w:color="auto" w:fill="auto"/>
          </w:tcPr>
          <w:p w14:paraId="7901B8B1" w14:textId="77777777" w:rsidR="00003734" w:rsidRPr="00756183" w:rsidRDefault="00003734" w:rsidP="000C147B">
            <w:pPr>
              <w:pStyle w:val="DHHStabletext"/>
            </w:pPr>
            <w:r w:rsidRPr="00756183">
              <w:t>5 years post project completion</w:t>
            </w:r>
          </w:p>
        </w:tc>
      </w:tr>
      <w:tr w:rsidR="00003734" w:rsidRPr="00756183" w14:paraId="43D92E6C" w14:textId="77777777" w:rsidTr="000D3C49">
        <w:trPr>
          <w:trHeight w:val="454"/>
          <w:jc w:val="center"/>
        </w:trPr>
        <w:tc>
          <w:tcPr>
            <w:tcW w:w="3024" w:type="dxa"/>
            <w:shd w:val="clear" w:color="auto" w:fill="auto"/>
          </w:tcPr>
          <w:p w14:paraId="62FC2A5A" w14:textId="77777777" w:rsidR="00003734" w:rsidRPr="00756183" w:rsidRDefault="00003734" w:rsidP="000C147B">
            <w:pPr>
              <w:pStyle w:val="DHHStabletext"/>
            </w:pPr>
            <w:r w:rsidRPr="00756183">
              <w:t>Ad hoc reports</w:t>
            </w:r>
          </w:p>
        </w:tc>
        <w:tc>
          <w:tcPr>
            <w:tcW w:w="0" w:type="auto"/>
            <w:shd w:val="clear" w:color="auto" w:fill="auto"/>
          </w:tcPr>
          <w:p w14:paraId="7EF1BA2C" w14:textId="77777777" w:rsidR="00003734" w:rsidRPr="00756183" w:rsidRDefault="00003734" w:rsidP="000C147B">
            <w:pPr>
              <w:pStyle w:val="DHHStabletext"/>
            </w:pPr>
            <w:r w:rsidRPr="00756183">
              <w:t>As requested by the VCA</w:t>
            </w:r>
          </w:p>
        </w:tc>
        <w:tc>
          <w:tcPr>
            <w:tcW w:w="4399" w:type="dxa"/>
            <w:shd w:val="clear" w:color="auto" w:fill="auto"/>
          </w:tcPr>
          <w:p w14:paraId="1A803760" w14:textId="77777777" w:rsidR="00003734" w:rsidRPr="00756183" w:rsidRDefault="00003734" w:rsidP="000C147B">
            <w:pPr>
              <w:pStyle w:val="DHHStabletext"/>
            </w:pPr>
            <w:r w:rsidRPr="00756183">
              <w:t>On request with a negotiable time frame not greater than six weeks</w:t>
            </w:r>
          </w:p>
        </w:tc>
      </w:tr>
    </w:tbl>
    <w:p w14:paraId="7DD6C92F" w14:textId="77777777" w:rsidR="00003734" w:rsidRDefault="00003734" w:rsidP="00F71763">
      <w:pPr>
        <w:pStyle w:val="DHHSbody"/>
      </w:pPr>
    </w:p>
    <w:p w14:paraId="33F11C1E" w14:textId="77777777" w:rsidR="00003734" w:rsidRPr="00D22C79" w:rsidRDefault="00003734" w:rsidP="00F71763">
      <w:pPr>
        <w:pStyle w:val="DHHSbody"/>
        <w:rPr>
          <w:bCs/>
        </w:rPr>
      </w:pPr>
      <w:r w:rsidRPr="00D22C79">
        <w:t>In general, funded parties will be required to undertake annual reporting; however, reporting requirements may include any, and all, of the following:</w:t>
      </w:r>
    </w:p>
    <w:p w14:paraId="43D0711B" w14:textId="0EA8C674" w:rsidR="00003734" w:rsidRPr="00820CF9" w:rsidRDefault="00F6045D" w:rsidP="007659B5">
      <w:pPr>
        <w:pStyle w:val="DHHSbullet1"/>
      </w:pPr>
      <w:r>
        <w:t>S</w:t>
      </w:r>
      <w:r w:rsidR="00003734" w:rsidRPr="00820CF9">
        <w:t>ix monthly progress reports including specifics such as research accomplishments and difficulties, measurement of actual progress against initial milestones, the extent of clinical activities undertaken during the year (if appropriate), publication lists (including conferences, media announcements and written publications) and details of other funding received f</w:t>
      </w:r>
      <w:r w:rsidR="00003734">
        <w:t>or the research project/program</w:t>
      </w:r>
    </w:p>
    <w:p w14:paraId="2E8FFA37" w14:textId="46233091" w:rsidR="00003734" w:rsidRPr="00820CF9" w:rsidRDefault="00F6045D" w:rsidP="007659B5">
      <w:pPr>
        <w:pStyle w:val="DHHSbullet1"/>
      </w:pPr>
      <w:r>
        <w:t>A</w:t>
      </w:r>
      <w:r w:rsidR="00003734" w:rsidRPr="00820CF9">
        <w:t xml:space="preserve">nnual </w:t>
      </w:r>
      <w:r w:rsidR="00116BC0">
        <w:t xml:space="preserve">audited </w:t>
      </w:r>
      <w:r w:rsidR="00003734" w:rsidRPr="00820CF9">
        <w:t>financial reports or annual statements regarding whether the annual funding contribution and research costs were</w:t>
      </w:r>
      <w:r w:rsidR="00003734">
        <w:t xml:space="preserve"> expended for research projects</w:t>
      </w:r>
    </w:p>
    <w:p w14:paraId="647EEEEA" w14:textId="73C7987C" w:rsidR="00003734" w:rsidRPr="00820CF9" w:rsidRDefault="00F6045D" w:rsidP="007659B5">
      <w:pPr>
        <w:pStyle w:val="DHHSbullet1"/>
      </w:pPr>
      <w:r>
        <w:t>A</w:t>
      </w:r>
      <w:r w:rsidR="00003734" w:rsidRPr="00820CF9">
        <w:t xml:space="preserve"> final report, or final copy of a research project provided within a reasonable time period subsequent to the expiry of the funded term, or on e</w:t>
      </w:r>
      <w:r w:rsidR="00003734">
        <w:t>arlier termination of the term</w:t>
      </w:r>
    </w:p>
    <w:p w14:paraId="74A0662A" w14:textId="50AD2138" w:rsidR="00003734" w:rsidRPr="00D443E0" w:rsidRDefault="00F6045D" w:rsidP="007659B5">
      <w:pPr>
        <w:pStyle w:val="DHHSbullet1"/>
      </w:pPr>
      <w:r>
        <w:t>A</w:t>
      </w:r>
      <w:r w:rsidR="00003734" w:rsidRPr="00D443E0">
        <w:t xml:space="preserve"> five-year follow-up report on the research project outcomes which must include information </w:t>
      </w:r>
      <w:proofErr w:type="gramStart"/>
      <w:r w:rsidR="00003734" w:rsidRPr="00D443E0">
        <w:t>on:</w:t>
      </w:r>
      <w:proofErr w:type="gramEnd"/>
      <w:r w:rsidR="00003734" w:rsidRPr="00D443E0">
        <w:t xml:space="preserve"> the translation of the outcomes into clinical practice; the commercialisation of the outcomes; and any other information as detailed in writing to the Chief Investigator or the Administering Organisation</w:t>
      </w:r>
    </w:p>
    <w:p w14:paraId="487C4D52" w14:textId="645088F5" w:rsidR="00003734" w:rsidRDefault="00F6045D" w:rsidP="007659B5">
      <w:pPr>
        <w:pStyle w:val="DHHSbullet1"/>
      </w:pPr>
      <w:r>
        <w:t>A</w:t>
      </w:r>
      <w:r w:rsidR="00003734" w:rsidRPr="00820CF9">
        <w:t>ny additional reports as requested by the VCA.</w:t>
      </w:r>
    </w:p>
    <w:p w14:paraId="63AF2A90" w14:textId="129E4201" w:rsidR="00003734" w:rsidRPr="00756183" w:rsidRDefault="00003734" w:rsidP="00F71763">
      <w:pPr>
        <w:pStyle w:val="DHHSbody"/>
      </w:pPr>
      <w:r w:rsidRPr="00756183">
        <w:t>These reports will be used to assess whether the project is proceeding satisfactorily</w:t>
      </w:r>
      <w:r w:rsidR="005C7CC6">
        <w:t>;</w:t>
      </w:r>
      <w:r w:rsidRPr="00756183">
        <w:t xml:space="preserve"> whether funds are being acquitted in accordance with the original application goals</w:t>
      </w:r>
      <w:r w:rsidR="005C7CC6">
        <w:t>;</w:t>
      </w:r>
      <w:r w:rsidRPr="00756183">
        <w:t xml:space="preserve"> and to ascertain the ongoing value of the VCA’s funding schemes.</w:t>
      </w:r>
    </w:p>
    <w:p w14:paraId="5200C61B" w14:textId="77777777" w:rsidR="00003734" w:rsidRPr="00820CF9" w:rsidRDefault="00003734" w:rsidP="00F71763">
      <w:pPr>
        <w:pStyle w:val="DHHSbody"/>
      </w:pPr>
      <w:r w:rsidRPr="00756183">
        <w:t>Funding may be suspended if progress is considered unsatisfactory, or funds have not been utilised in accordance with the Funding Agreement.</w:t>
      </w:r>
    </w:p>
    <w:p w14:paraId="02BCD3F4" w14:textId="0FDB63E0" w:rsidR="00003734" w:rsidRPr="00D22C79" w:rsidRDefault="00003734" w:rsidP="00F71763">
      <w:pPr>
        <w:pStyle w:val="Heading1"/>
      </w:pPr>
      <w:bookmarkStart w:id="105" w:name="_Toc480448567"/>
      <w:bookmarkStart w:id="106" w:name="_Toc508103071"/>
      <w:bookmarkStart w:id="107" w:name="_Toc509303583"/>
      <w:bookmarkStart w:id="108" w:name="_Toc136955711"/>
      <w:r w:rsidRPr="00D22C79">
        <w:t>6</w:t>
      </w:r>
      <w:r w:rsidRPr="00D22C79">
        <w:tab/>
      </w:r>
      <w:r w:rsidR="007659B5">
        <w:t>Acknowledgement</w:t>
      </w:r>
      <w:bookmarkEnd w:id="105"/>
      <w:bookmarkEnd w:id="106"/>
      <w:bookmarkEnd w:id="107"/>
      <w:bookmarkEnd w:id="108"/>
    </w:p>
    <w:p w14:paraId="211BD876" w14:textId="77777777" w:rsidR="00003734" w:rsidRPr="00D22C79" w:rsidRDefault="00003734" w:rsidP="00F71763">
      <w:pPr>
        <w:pStyle w:val="DHHSbody"/>
      </w:pPr>
      <w:r w:rsidRPr="00D22C79">
        <w:t>The VCA requires that research and other activities financially supported by the VCA be appropriately acknowledged.</w:t>
      </w:r>
    </w:p>
    <w:p w14:paraId="444BEFC6" w14:textId="23CD5074" w:rsidR="00003734" w:rsidRPr="00D22C79" w:rsidRDefault="00003734" w:rsidP="00F71763">
      <w:pPr>
        <w:pStyle w:val="Heading2"/>
      </w:pPr>
      <w:bookmarkStart w:id="109" w:name="_Toc480448568"/>
      <w:bookmarkStart w:id="110" w:name="_Toc509303584"/>
      <w:bookmarkStart w:id="111" w:name="_Toc136955712"/>
      <w:r w:rsidRPr="00D22C79">
        <w:t>6.1</w:t>
      </w:r>
      <w:r w:rsidRPr="00D22C79">
        <w:tab/>
        <w:t xml:space="preserve">Written </w:t>
      </w:r>
      <w:r w:rsidR="007659B5">
        <w:t>a</w:t>
      </w:r>
      <w:r w:rsidRPr="00D22C79">
        <w:t>cknowledgement</w:t>
      </w:r>
      <w:bookmarkEnd w:id="109"/>
      <w:bookmarkEnd w:id="110"/>
      <w:bookmarkEnd w:id="111"/>
    </w:p>
    <w:p w14:paraId="303A65A8" w14:textId="77777777" w:rsidR="00003734" w:rsidRPr="00D22C79" w:rsidRDefault="00003734" w:rsidP="00F71763">
      <w:pPr>
        <w:pStyle w:val="DHHSbody"/>
      </w:pPr>
      <w:r w:rsidRPr="00D22C79">
        <w:t xml:space="preserve">When, at any time during or after the completion of funded research, the researcher or any other party publishes or produces written material, such as books, articles, newsletters, advertising material or other </w:t>
      </w:r>
      <w:r w:rsidRPr="00D22C79">
        <w:lastRenderedPageBreak/>
        <w:t>literary works which relate to the funded research, the funded party must ensure (wherever possible) that the VCA’s support of the research is acknowledged in an appropriate form. Acknowledgement may include mention of the Victorian Government and the VCA, using wording to the following effect:</w:t>
      </w:r>
    </w:p>
    <w:p w14:paraId="4B5AB8FE" w14:textId="77777777" w:rsidR="00003734" w:rsidRPr="00820CF9" w:rsidRDefault="00003734" w:rsidP="007659B5">
      <w:pPr>
        <w:pStyle w:val="DHHSbullet1"/>
      </w:pPr>
      <w:r w:rsidRPr="00820CF9">
        <w:t>This Research Project/Program was supported by the Victorian Government through the Victorian Cancer Agency (insert name of Award/Grant), or</w:t>
      </w:r>
    </w:p>
    <w:p w14:paraId="7277D5BE" w14:textId="77777777" w:rsidR="00003734" w:rsidRPr="00820CF9" w:rsidRDefault="00003734" w:rsidP="007659B5">
      <w:pPr>
        <w:pStyle w:val="DHHSbullet1"/>
      </w:pPr>
      <w:r w:rsidRPr="00820CF9">
        <w:t>Professor/Dr XXX is the recipient of a Victorian Government (insert name of Award/Grant) through the Victorian Cancer Agency</w:t>
      </w:r>
      <w:r>
        <w:t>.</w:t>
      </w:r>
    </w:p>
    <w:p w14:paraId="7A4FC252" w14:textId="5F8EACD4" w:rsidR="00003734" w:rsidRPr="00D22C79" w:rsidRDefault="00003734" w:rsidP="00F71763">
      <w:pPr>
        <w:pStyle w:val="Heading2"/>
      </w:pPr>
      <w:bookmarkStart w:id="112" w:name="_Toc480448569"/>
      <w:bookmarkStart w:id="113" w:name="_Toc509303585"/>
      <w:bookmarkStart w:id="114" w:name="_Toc136955713"/>
      <w:r w:rsidRPr="00D22C79">
        <w:t>6.2</w:t>
      </w:r>
      <w:r w:rsidRPr="00D22C79">
        <w:tab/>
        <w:t xml:space="preserve">The </w:t>
      </w:r>
      <w:r w:rsidR="007659B5">
        <w:t>r</w:t>
      </w:r>
      <w:r w:rsidRPr="00D22C79">
        <w:t xml:space="preserve">eproduction of </w:t>
      </w:r>
      <w:r w:rsidR="007659B5">
        <w:t>l</w:t>
      </w:r>
      <w:r w:rsidRPr="00D22C79">
        <w:t xml:space="preserve">ogo/s and </w:t>
      </w:r>
      <w:r w:rsidR="007659B5">
        <w:t>i</w:t>
      </w:r>
      <w:r w:rsidRPr="00D22C79">
        <w:t>nsignia</w:t>
      </w:r>
      <w:bookmarkEnd w:id="112"/>
      <w:bookmarkEnd w:id="113"/>
      <w:bookmarkEnd w:id="114"/>
    </w:p>
    <w:p w14:paraId="60DEBDFF" w14:textId="77777777" w:rsidR="00003734" w:rsidRPr="00D22C79" w:rsidRDefault="00003734" w:rsidP="00F71763">
      <w:pPr>
        <w:pStyle w:val="DHHSbody"/>
      </w:pPr>
      <w:r w:rsidRPr="00D22C79">
        <w:t>Wherever practical, the Victorian Government and the VCA logo should be included with acknowledgement of Victorian Government funding through the VCA on presentations delivered by funded parties. Funded parties should contact the VCA for a copy of the relevant logo/s in the appropriate format.</w:t>
      </w:r>
    </w:p>
    <w:p w14:paraId="5C2BC35D" w14:textId="4B8461F6" w:rsidR="00003734" w:rsidRPr="00D22C79" w:rsidRDefault="00003734" w:rsidP="00F71763">
      <w:pPr>
        <w:pStyle w:val="Heading2"/>
      </w:pPr>
      <w:bookmarkStart w:id="115" w:name="_Toc480448570"/>
      <w:bookmarkStart w:id="116" w:name="_Toc509303586"/>
      <w:bookmarkStart w:id="117" w:name="_Toc136955714"/>
      <w:r w:rsidRPr="00D22C79">
        <w:t>6.3</w:t>
      </w:r>
      <w:r w:rsidRPr="00D22C79">
        <w:tab/>
        <w:t xml:space="preserve">Verbal </w:t>
      </w:r>
      <w:r w:rsidR="007659B5">
        <w:t>a</w:t>
      </w:r>
      <w:r w:rsidRPr="00D22C79">
        <w:t>cknowledgement</w:t>
      </w:r>
      <w:bookmarkEnd w:id="115"/>
      <w:bookmarkEnd w:id="116"/>
      <w:bookmarkEnd w:id="117"/>
    </w:p>
    <w:p w14:paraId="15F2BDED" w14:textId="77777777" w:rsidR="00003734" w:rsidRPr="00D22C79" w:rsidRDefault="00003734" w:rsidP="00F71763">
      <w:pPr>
        <w:pStyle w:val="DHHSbody"/>
      </w:pPr>
      <w:r w:rsidRPr="00D22C79">
        <w:t>Where appropriate, at any time during or after the funding period, when an oral announcement is made in relation to funded research, including print media interviews, public announcements, presentations, or statements made on television and radio programs, funded parties must verbally acknowledge the contribution of the Victorian Government through the VCA.</w:t>
      </w:r>
    </w:p>
    <w:p w14:paraId="1C6CD93C" w14:textId="21ADE704" w:rsidR="00003734" w:rsidRPr="00D22C79" w:rsidRDefault="00003734" w:rsidP="00F71763">
      <w:pPr>
        <w:pStyle w:val="Heading2"/>
      </w:pPr>
      <w:bookmarkStart w:id="118" w:name="_Toc480448571"/>
      <w:bookmarkStart w:id="119" w:name="_Toc509303587"/>
      <w:bookmarkStart w:id="120" w:name="_Toc136955715"/>
      <w:r w:rsidRPr="00D22C79">
        <w:t>6.4</w:t>
      </w:r>
      <w:r w:rsidRPr="00D22C79">
        <w:tab/>
        <w:t xml:space="preserve">Additional </w:t>
      </w:r>
      <w:r w:rsidR="007659B5">
        <w:t>a</w:t>
      </w:r>
      <w:r w:rsidRPr="00D22C79">
        <w:t xml:space="preserve">cknowledgement </w:t>
      </w:r>
      <w:r w:rsidR="007659B5">
        <w:t>o</w:t>
      </w:r>
      <w:r w:rsidRPr="00D22C79">
        <w:t>bligations</w:t>
      </w:r>
      <w:bookmarkEnd w:id="118"/>
      <w:bookmarkEnd w:id="119"/>
      <w:bookmarkEnd w:id="120"/>
    </w:p>
    <w:p w14:paraId="16D685C0" w14:textId="77777777" w:rsidR="00003734" w:rsidRPr="00D22C79" w:rsidRDefault="00003734" w:rsidP="00F71763">
      <w:pPr>
        <w:pStyle w:val="DHHSbody"/>
      </w:pPr>
      <w:r w:rsidRPr="00D22C79">
        <w:t>Funded parties must ensure that any acknowledgement does not lead the audience to believe that any particular views or messages being conveyed are those held by the VCA or the Victorian Government, unless the VCA has formally endorsed such views or messages in writing.</w:t>
      </w:r>
    </w:p>
    <w:p w14:paraId="3ED5DE02" w14:textId="2762939F" w:rsidR="00003734" w:rsidRPr="00D22C79" w:rsidRDefault="00003734" w:rsidP="00F71763">
      <w:pPr>
        <w:pStyle w:val="Heading1"/>
      </w:pPr>
      <w:bookmarkStart w:id="121" w:name="_Toc480448572"/>
      <w:bookmarkStart w:id="122" w:name="_Toc508103072"/>
      <w:bookmarkStart w:id="123" w:name="_Toc509303588"/>
      <w:bookmarkStart w:id="124" w:name="_Toc136955716"/>
      <w:r w:rsidRPr="00D22C79">
        <w:t>7</w:t>
      </w:r>
      <w:r w:rsidRPr="00D22C79">
        <w:tab/>
        <w:t>A</w:t>
      </w:r>
      <w:r w:rsidR="007659B5">
        <w:t>dministration of funds</w:t>
      </w:r>
      <w:bookmarkEnd w:id="121"/>
      <w:bookmarkEnd w:id="122"/>
      <w:bookmarkEnd w:id="123"/>
      <w:bookmarkEnd w:id="124"/>
    </w:p>
    <w:p w14:paraId="2DB2C29A" w14:textId="702F780C" w:rsidR="00003734" w:rsidRPr="00D22C79" w:rsidRDefault="00003734" w:rsidP="00F71763">
      <w:pPr>
        <w:pStyle w:val="Heading2"/>
        <w:rPr>
          <w:sz w:val="20"/>
        </w:rPr>
      </w:pPr>
      <w:bookmarkStart w:id="125" w:name="_Toc480448573"/>
      <w:bookmarkStart w:id="126" w:name="_Toc509303589"/>
      <w:bookmarkStart w:id="127" w:name="_Toc136955717"/>
      <w:r w:rsidRPr="00D22C79">
        <w:t>7.1</w:t>
      </w:r>
      <w:r w:rsidRPr="00D22C79">
        <w:tab/>
        <w:t xml:space="preserve">Legal </w:t>
      </w:r>
      <w:r w:rsidR="007659B5">
        <w:t>a</w:t>
      </w:r>
      <w:r w:rsidRPr="00D22C79">
        <w:t xml:space="preserve">greements for the </w:t>
      </w:r>
      <w:r w:rsidR="007659B5">
        <w:t>r</w:t>
      </w:r>
      <w:r w:rsidRPr="00D22C79">
        <w:t xml:space="preserve">elease of </w:t>
      </w:r>
      <w:r w:rsidR="007659B5">
        <w:t>f</w:t>
      </w:r>
      <w:r w:rsidRPr="00D22C79">
        <w:t>unding</w:t>
      </w:r>
      <w:bookmarkEnd w:id="125"/>
      <w:bookmarkEnd w:id="126"/>
      <w:bookmarkEnd w:id="127"/>
    </w:p>
    <w:p w14:paraId="3DE0598C" w14:textId="0A9992B4" w:rsidR="00003734" w:rsidRDefault="00003734" w:rsidP="00F71763">
      <w:pPr>
        <w:pStyle w:val="DHHSbody"/>
      </w:pPr>
      <w:r w:rsidRPr="00D443E0">
        <w:t>Legal agreements for the release of funding will be between the Department of Health</w:t>
      </w:r>
      <w:r w:rsidR="000C0EE8">
        <w:t xml:space="preserve"> </w:t>
      </w:r>
      <w:r w:rsidRPr="00D443E0">
        <w:t>and the Administering Organisation nominated</w:t>
      </w:r>
      <w:r>
        <w:t xml:space="preserve"> by the successful recipients within their application.</w:t>
      </w:r>
    </w:p>
    <w:p w14:paraId="63F1B3AF" w14:textId="4ABEB906" w:rsidR="00506A91" w:rsidRPr="00506A91" w:rsidRDefault="00003734" w:rsidP="00506A91">
      <w:pPr>
        <w:pStyle w:val="Heading2"/>
      </w:pPr>
      <w:bookmarkStart w:id="128" w:name="_Toc480448574"/>
      <w:bookmarkStart w:id="129" w:name="_Toc509303590"/>
      <w:bookmarkStart w:id="130" w:name="_Toc136955718"/>
      <w:r w:rsidRPr="00D443E0">
        <w:t>7.2</w:t>
      </w:r>
      <w:r w:rsidRPr="00D443E0">
        <w:tab/>
        <w:t xml:space="preserve">Administration of </w:t>
      </w:r>
      <w:r w:rsidR="007659B5">
        <w:t>f</w:t>
      </w:r>
      <w:r w:rsidRPr="00D443E0">
        <w:t>unding</w:t>
      </w:r>
      <w:bookmarkEnd w:id="128"/>
      <w:bookmarkEnd w:id="129"/>
      <w:bookmarkEnd w:id="130"/>
    </w:p>
    <w:p w14:paraId="12F12196" w14:textId="409DAB7A" w:rsidR="00506A91" w:rsidRPr="00506A91" w:rsidRDefault="00003734" w:rsidP="00506A91">
      <w:pPr>
        <w:pStyle w:val="DHHSbody"/>
      </w:pPr>
      <w:r w:rsidRPr="00D443E0">
        <w:t>Following endorsement of the legal agreements for release of funding to recipients by the Administering Organisation, agreements are required to be endorsed by the Minister for Health or by the relevant financial delegate of the Department of Health. Following this endorsement, funding will be transferred electronically to the Administering Organisation.</w:t>
      </w:r>
    </w:p>
    <w:p w14:paraId="60ABC400" w14:textId="03FD4BB3" w:rsidR="00003734" w:rsidRPr="00D22C79" w:rsidRDefault="00003734" w:rsidP="00F71763">
      <w:pPr>
        <w:pStyle w:val="Heading1"/>
      </w:pPr>
      <w:bookmarkStart w:id="131" w:name="_Toc480448575"/>
      <w:bookmarkStart w:id="132" w:name="_Toc508103073"/>
      <w:bookmarkStart w:id="133" w:name="_Toc509303591"/>
      <w:bookmarkStart w:id="134" w:name="_Toc136955719"/>
      <w:r w:rsidRPr="00D22C79">
        <w:t xml:space="preserve">8 </w:t>
      </w:r>
      <w:r w:rsidRPr="00D22C79">
        <w:tab/>
        <w:t>A</w:t>
      </w:r>
      <w:r w:rsidR="007659B5">
        <w:t xml:space="preserve">dministering </w:t>
      </w:r>
      <w:r w:rsidR="00776B0B">
        <w:t>O</w:t>
      </w:r>
      <w:r w:rsidR="007659B5">
        <w:t>rganisations policy</w:t>
      </w:r>
      <w:bookmarkEnd w:id="131"/>
      <w:bookmarkEnd w:id="132"/>
      <w:bookmarkEnd w:id="133"/>
      <w:bookmarkEnd w:id="134"/>
    </w:p>
    <w:p w14:paraId="388B10B0" w14:textId="2B37196A" w:rsidR="00003734" w:rsidRPr="00D22C79" w:rsidRDefault="00003734" w:rsidP="00F71763">
      <w:pPr>
        <w:pStyle w:val="DHHSbody"/>
      </w:pPr>
      <w:r w:rsidRPr="00D22C79">
        <w:t xml:space="preserve">In the case of all VCA funding, funds must be administered by an identified Administering Organisation. The Administering Organisation, as the primary </w:t>
      </w:r>
      <w:r w:rsidR="00322D78">
        <w:t>A</w:t>
      </w:r>
      <w:r w:rsidRPr="00D22C79">
        <w:t xml:space="preserve">pplicant, is expected to administer the funding and coordinate the research outlined in their </w:t>
      </w:r>
      <w:r w:rsidRPr="00D22C79">
        <w:t>application and</w:t>
      </w:r>
      <w:r w:rsidRPr="00D22C79">
        <w:t xml:space="preserve"> will be required to sign an agreement ensuring the completion of the research. The below criteria outline the VCA’s process for identifying Administering Organisations.</w:t>
      </w:r>
    </w:p>
    <w:p w14:paraId="4A0BFDDD" w14:textId="0D46AD70" w:rsidR="00003734" w:rsidRPr="00D22C79" w:rsidRDefault="00003734" w:rsidP="00F71763">
      <w:pPr>
        <w:pStyle w:val="Heading2"/>
        <w:rPr>
          <w:sz w:val="20"/>
        </w:rPr>
      </w:pPr>
      <w:bookmarkStart w:id="135" w:name="_Toc480448576"/>
      <w:bookmarkStart w:id="136" w:name="_Toc509303592"/>
      <w:bookmarkStart w:id="137" w:name="_Toc136955720"/>
      <w:r w:rsidRPr="00D22C79">
        <w:lastRenderedPageBreak/>
        <w:t>8.1</w:t>
      </w:r>
      <w:r w:rsidRPr="00D22C79">
        <w:tab/>
        <w:t xml:space="preserve">Role of </w:t>
      </w:r>
      <w:r w:rsidR="00776B0B">
        <w:t>A</w:t>
      </w:r>
      <w:r w:rsidRPr="00D22C79">
        <w:t xml:space="preserve">dministering </w:t>
      </w:r>
      <w:r w:rsidR="00776B0B">
        <w:t>O</w:t>
      </w:r>
      <w:r w:rsidRPr="00D22C79">
        <w:t>rganisations</w:t>
      </w:r>
      <w:bookmarkEnd w:id="135"/>
      <w:bookmarkEnd w:id="136"/>
      <w:bookmarkEnd w:id="137"/>
    </w:p>
    <w:p w14:paraId="4916DD87" w14:textId="7BC847F9" w:rsidR="00003734" w:rsidRPr="00D22C79" w:rsidRDefault="00003734" w:rsidP="00F71763">
      <w:pPr>
        <w:pStyle w:val="DHHSbody"/>
      </w:pPr>
      <w:r w:rsidRPr="00D22C79">
        <w:t xml:space="preserve">Most public </w:t>
      </w:r>
      <w:r w:rsidR="008D1397">
        <w:t>health services</w:t>
      </w:r>
      <w:r w:rsidRPr="00D22C79">
        <w:t>, public universities, and other research or medical organisations that have existing financial relationships with the Department of Health will meet the VCA’s requirements to be an Administering Organisation.</w:t>
      </w:r>
    </w:p>
    <w:p w14:paraId="0D3D6082" w14:textId="77777777" w:rsidR="00003734" w:rsidRPr="00D22C79" w:rsidRDefault="00003734" w:rsidP="00F71763">
      <w:pPr>
        <w:pStyle w:val="DHHSbody"/>
      </w:pPr>
      <w:r w:rsidRPr="00D22C79">
        <w:t>Administering Organisations must be located in Victoria, and meet accountability and other requirements, including demonstration of:</w:t>
      </w:r>
    </w:p>
    <w:p w14:paraId="06AC1440" w14:textId="3B93D59B" w:rsidR="00003734" w:rsidRPr="00384210" w:rsidRDefault="007A5413" w:rsidP="007659B5">
      <w:pPr>
        <w:pStyle w:val="DHHSbullet1"/>
      </w:pPr>
      <w:r>
        <w:t>E</w:t>
      </w:r>
      <w:r w:rsidR="00003734" w:rsidRPr="00384210">
        <w:t xml:space="preserve">xisting engagement </w:t>
      </w:r>
      <w:r w:rsidR="00003734">
        <w:t>in medical research in Victoria</w:t>
      </w:r>
    </w:p>
    <w:p w14:paraId="1291977F" w14:textId="31767047" w:rsidR="00003734" w:rsidRPr="00384210" w:rsidRDefault="007A5413" w:rsidP="007659B5">
      <w:pPr>
        <w:pStyle w:val="DHHSbullet1"/>
      </w:pPr>
      <w:r>
        <w:t>A</w:t>
      </w:r>
      <w:r w:rsidR="00003734" w:rsidRPr="00384210">
        <w:t>ppropriate levels of infrastructure and support to ensure that research can be properly supported (this may include, but is not limited to, access to lab equipment, clinical services and other research infrastructure, and adeq</w:t>
      </w:r>
      <w:r w:rsidR="00003734">
        <w:t>uate mentoring and supervision)</w:t>
      </w:r>
    </w:p>
    <w:p w14:paraId="766D981C" w14:textId="27BE2CE2" w:rsidR="00003734" w:rsidRPr="00384210" w:rsidRDefault="007A5413" w:rsidP="007659B5">
      <w:pPr>
        <w:pStyle w:val="DHHSbullet1"/>
      </w:pPr>
      <w:r>
        <w:t>T</w:t>
      </w:r>
      <w:r w:rsidR="00003734" w:rsidRPr="00384210">
        <w:t>he financial viability and stability of the organisation (including, but not limited to, appropriate insurance and indemnity cover, including third pa</w:t>
      </w:r>
      <w:r w:rsidR="00003734">
        <w:t>rty and professional indemnity)</w:t>
      </w:r>
    </w:p>
    <w:p w14:paraId="6571541E" w14:textId="45CCB2D1" w:rsidR="00003734" w:rsidRPr="00384210" w:rsidRDefault="007A5413" w:rsidP="007659B5">
      <w:pPr>
        <w:pStyle w:val="DHHSbullet1"/>
      </w:pPr>
      <w:r>
        <w:t>C</w:t>
      </w:r>
      <w:r w:rsidR="00003734" w:rsidRPr="00384210">
        <w:t>ompliance with industry best practice and nationally recognised standards in rela</w:t>
      </w:r>
      <w:r w:rsidR="00003734">
        <w:t>tion to human and animal ethics</w:t>
      </w:r>
    </w:p>
    <w:p w14:paraId="47B4FD1B" w14:textId="58F4D829" w:rsidR="00003734" w:rsidRPr="00384210" w:rsidRDefault="007A5413" w:rsidP="007659B5">
      <w:pPr>
        <w:pStyle w:val="DHHSbullet1"/>
      </w:pPr>
      <w:r>
        <w:t>T</w:t>
      </w:r>
      <w:r w:rsidR="00003734" w:rsidRPr="00384210">
        <w:t>he capacity to ensure that all reporting requirements under the fund</w:t>
      </w:r>
      <w:r w:rsidR="00003734">
        <w:t>ing agreement are met</w:t>
      </w:r>
    </w:p>
    <w:p w14:paraId="055ED878" w14:textId="21022877" w:rsidR="00003734" w:rsidRPr="00384210" w:rsidRDefault="007A5413" w:rsidP="007659B5">
      <w:pPr>
        <w:pStyle w:val="DHHSbullet1"/>
      </w:pPr>
      <w:r>
        <w:t>T</w:t>
      </w:r>
      <w:r w:rsidR="00003734" w:rsidRPr="00384210">
        <w:t>he capacity to meet general VCA and Victorian Government accountability requirements, including adherence to ethical employment and research practices, and account auditing that complies with Australian Accounting Standards</w:t>
      </w:r>
    </w:p>
    <w:p w14:paraId="22A31709" w14:textId="67D2246E" w:rsidR="00003734" w:rsidRPr="00384210" w:rsidRDefault="007A5413" w:rsidP="007659B5">
      <w:pPr>
        <w:pStyle w:val="DHHSbullet1"/>
      </w:pPr>
      <w:r>
        <w:t>C</w:t>
      </w:r>
      <w:r w:rsidR="00003734" w:rsidRPr="00384210">
        <w:t>apacity and willingness to adhere to the VCA’s policy positions in relation to intellectual property, confidentiality, acknowledgement, and other key policy areas.</w:t>
      </w:r>
    </w:p>
    <w:p w14:paraId="65B78AE2" w14:textId="2A78CEFA" w:rsidR="00003734" w:rsidRPr="00D22C79" w:rsidRDefault="00003734" w:rsidP="00F71763">
      <w:pPr>
        <w:pStyle w:val="Heading2"/>
      </w:pPr>
      <w:bookmarkStart w:id="138" w:name="_Toc480448577"/>
      <w:bookmarkStart w:id="139" w:name="_Toc509303593"/>
      <w:bookmarkStart w:id="140" w:name="_Toc136955721"/>
      <w:r w:rsidRPr="00D22C79">
        <w:t>8.2</w:t>
      </w:r>
      <w:r w:rsidRPr="00D22C79">
        <w:tab/>
        <w:t xml:space="preserve">Obligations of </w:t>
      </w:r>
      <w:bookmarkEnd w:id="138"/>
      <w:bookmarkEnd w:id="139"/>
      <w:r w:rsidR="00776B0B">
        <w:t>A</w:t>
      </w:r>
      <w:r w:rsidRPr="00D22C79">
        <w:t xml:space="preserve">dministering </w:t>
      </w:r>
      <w:r w:rsidR="00776B0B">
        <w:t>O</w:t>
      </w:r>
      <w:r w:rsidRPr="00D22C79">
        <w:t>rganisations</w:t>
      </w:r>
      <w:bookmarkEnd w:id="140"/>
    </w:p>
    <w:p w14:paraId="4D57FF67" w14:textId="77777777" w:rsidR="00003734" w:rsidRPr="00D22C79" w:rsidRDefault="00003734" w:rsidP="00F71763">
      <w:pPr>
        <w:pStyle w:val="DHHSbody"/>
      </w:pPr>
      <w:r w:rsidRPr="00D22C79">
        <w:t>The specific obligations of Administering Organisations are contained within the relevant legal agreements for each VCA research funding program. Broadly, Administering Organisations must:</w:t>
      </w:r>
    </w:p>
    <w:p w14:paraId="43EE038F" w14:textId="6AD72D54" w:rsidR="00003734" w:rsidRPr="00384210" w:rsidRDefault="007A5413" w:rsidP="007659B5">
      <w:pPr>
        <w:pStyle w:val="DHHSbullet1"/>
      </w:pPr>
      <w:r>
        <w:t>E</w:t>
      </w:r>
      <w:r w:rsidR="00003734" w:rsidRPr="00384210">
        <w:t xml:space="preserve">nsure the completion of the research project, for which they are identified as </w:t>
      </w:r>
      <w:r w:rsidR="00BC4B07">
        <w:t xml:space="preserve">the </w:t>
      </w:r>
      <w:r w:rsidR="00003734" w:rsidRPr="00384210">
        <w:t xml:space="preserve">primary </w:t>
      </w:r>
      <w:r w:rsidR="00322D78">
        <w:t>A</w:t>
      </w:r>
      <w:r w:rsidR="00003734" w:rsidRPr="00384210">
        <w:t xml:space="preserve">pplicant in the original </w:t>
      </w:r>
      <w:r w:rsidR="00003734">
        <w:t>funding application</w:t>
      </w:r>
    </w:p>
    <w:p w14:paraId="1D0B696E" w14:textId="5BF2D006" w:rsidR="00003734" w:rsidRPr="00384210" w:rsidRDefault="007A5413" w:rsidP="007659B5">
      <w:pPr>
        <w:pStyle w:val="DHHSbullet1"/>
      </w:pPr>
      <w:r>
        <w:t>R</w:t>
      </w:r>
      <w:r w:rsidR="00003734" w:rsidRPr="00384210">
        <w:t>eceive and administer funds and conduct the research in the manner outlined in the original funding application and in accord</w:t>
      </w:r>
      <w:r w:rsidR="00003734">
        <w:t>ance with the funding agreement</w:t>
      </w:r>
    </w:p>
    <w:p w14:paraId="59D86AB0" w14:textId="6B6674EC" w:rsidR="00003734" w:rsidRPr="00384210" w:rsidRDefault="007A5413" w:rsidP="007659B5">
      <w:pPr>
        <w:pStyle w:val="DHHSbullet1"/>
      </w:pPr>
      <w:r>
        <w:t>M</w:t>
      </w:r>
      <w:r w:rsidR="00003734" w:rsidRPr="00384210">
        <w:t>anage relevant reporting processes for the project across all collaborating sites</w:t>
      </w:r>
    </w:p>
    <w:p w14:paraId="5E81D7F3" w14:textId="08203802" w:rsidR="00003734" w:rsidRPr="00384210" w:rsidRDefault="007A5413" w:rsidP="007659B5">
      <w:pPr>
        <w:pStyle w:val="DHHSbullet1"/>
      </w:pPr>
      <w:r>
        <w:t>E</w:t>
      </w:r>
      <w:r w:rsidR="00003734" w:rsidRPr="00384210">
        <w:t>ffectively manage communications between researchers, including collaborating organisations and individuals, and the VCA.</w:t>
      </w:r>
    </w:p>
    <w:p w14:paraId="36466257" w14:textId="4D13CE8E" w:rsidR="00003734" w:rsidRPr="00D22C79" w:rsidRDefault="00003734" w:rsidP="00F71763">
      <w:pPr>
        <w:pStyle w:val="Heading2"/>
        <w:rPr>
          <w:sz w:val="20"/>
        </w:rPr>
      </w:pPr>
      <w:bookmarkStart w:id="141" w:name="_Toc480448578"/>
      <w:bookmarkStart w:id="142" w:name="_Toc509303594"/>
      <w:bookmarkStart w:id="143" w:name="_Toc136955722"/>
      <w:r w:rsidRPr="00D22C79">
        <w:t>8.3</w:t>
      </w:r>
      <w:r w:rsidRPr="00D22C79">
        <w:tab/>
        <w:t xml:space="preserve">Special </w:t>
      </w:r>
      <w:r w:rsidR="007659B5">
        <w:t>r</w:t>
      </w:r>
      <w:r w:rsidRPr="00D22C79">
        <w:t xml:space="preserve">equirements for </w:t>
      </w:r>
      <w:r w:rsidR="007659B5">
        <w:t>c</w:t>
      </w:r>
      <w:r w:rsidRPr="00D22C79">
        <w:t xml:space="preserve">ollaborative </w:t>
      </w:r>
      <w:r w:rsidR="007659B5">
        <w:t>p</w:t>
      </w:r>
      <w:r w:rsidRPr="00D22C79">
        <w:t xml:space="preserve">rojects or </w:t>
      </w:r>
      <w:r w:rsidR="007659B5">
        <w:t>p</w:t>
      </w:r>
      <w:r w:rsidRPr="00D22C79">
        <w:t>rograms</w:t>
      </w:r>
      <w:bookmarkEnd w:id="141"/>
      <w:bookmarkEnd w:id="142"/>
      <w:bookmarkEnd w:id="143"/>
    </w:p>
    <w:p w14:paraId="45376E02" w14:textId="3F981A07" w:rsidR="00003734" w:rsidRPr="00D22C79" w:rsidRDefault="00003734" w:rsidP="00F71763">
      <w:pPr>
        <w:pStyle w:val="DHHSbody"/>
      </w:pPr>
      <w:r w:rsidRPr="00D22C79">
        <w:t>In the case of research projects of programs where there is more than one organisation participating in the funded research, a single Administering Organisation must be identified.</w:t>
      </w:r>
    </w:p>
    <w:p w14:paraId="7A842AB9" w14:textId="77777777" w:rsidR="00003734" w:rsidRPr="00D22C79" w:rsidRDefault="00003734" w:rsidP="00F71763">
      <w:pPr>
        <w:pStyle w:val="DHHSbody"/>
      </w:pPr>
      <w:r w:rsidRPr="00D22C79">
        <w:t xml:space="preserve">This Administering Organisation will, </w:t>
      </w:r>
      <w:r w:rsidRPr="00D22C79">
        <w:rPr>
          <w:i/>
        </w:rPr>
        <w:t>inter alia</w:t>
      </w:r>
      <w:r w:rsidRPr="00D22C79">
        <w:t>:</w:t>
      </w:r>
    </w:p>
    <w:p w14:paraId="3B67FFE8" w14:textId="28D31DA8" w:rsidR="00003734" w:rsidRPr="00384210" w:rsidRDefault="007A5413" w:rsidP="007659B5">
      <w:pPr>
        <w:pStyle w:val="DHHSbullet1"/>
      </w:pPr>
      <w:r>
        <w:t>R</w:t>
      </w:r>
      <w:r w:rsidR="00003734" w:rsidRPr="00384210">
        <w:t>eceive VCA funding on behalf of t</w:t>
      </w:r>
      <w:r w:rsidR="00003734">
        <w:t>he members of the collaboration</w:t>
      </w:r>
    </w:p>
    <w:p w14:paraId="1FD13522" w14:textId="413B01A1" w:rsidR="00003734" w:rsidRPr="00384210" w:rsidRDefault="007A5413" w:rsidP="007659B5">
      <w:pPr>
        <w:pStyle w:val="DHHSbullet1"/>
      </w:pPr>
      <w:r>
        <w:t>B</w:t>
      </w:r>
      <w:r w:rsidR="00003734" w:rsidRPr="00384210">
        <w:t>e expected to administer funds on behalf of all individuals and/or organisations undertaking research pursuant to the funding</w:t>
      </w:r>
    </w:p>
    <w:p w14:paraId="37F028A0" w14:textId="33F3613A" w:rsidR="00003734" w:rsidRDefault="007A5413" w:rsidP="007659B5">
      <w:pPr>
        <w:pStyle w:val="DHHSbullet1"/>
      </w:pPr>
      <w:r>
        <w:t>C</w:t>
      </w:r>
      <w:r w:rsidR="00003734" w:rsidRPr="00384210">
        <w:t>ertify the consent and capacity of collaborating organisations.</w:t>
      </w:r>
    </w:p>
    <w:p w14:paraId="135362B6" w14:textId="77777777" w:rsidR="00003734" w:rsidRDefault="00003734" w:rsidP="00003734">
      <w:pPr>
        <w:rPr>
          <w:rFonts w:ascii="Arial" w:hAnsi="Arial" w:cs="Arial"/>
          <w:bCs/>
        </w:rPr>
      </w:pPr>
      <w:r>
        <w:rPr>
          <w:rFonts w:ascii="Arial" w:hAnsi="Arial" w:cs="Arial"/>
        </w:rPr>
        <w:br w:type="page"/>
      </w:r>
    </w:p>
    <w:p w14:paraId="00FE98C4" w14:textId="7B5D1404" w:rsidR="00003734" w:rsidRPr="00756183" w:rsidRDefault="00003734" w:rsidP="00F71763">
      <w:pPr>
        <w:pStyle w:val="Heading1"/>
      </w:pPr>
      <w:bookmarkStart w:id="144" w:name="_Toc254272249"/>
      <w:bookmarkStart w:id="145" w:name="_Toc254600731"/>
      <w:bookmarkStart w:id="146" w:name="_Toc363218539"/>
      <w:bookmarkStart w:id="147" w:name="_Toc423011419"/>
      <w:bookmarkStart w:id="148" w:name="_Toc481415698"/>
      <w:bookmarkStart w:id="149" w:name="_Toc509303595"/>
      <w:bookmarkStart w:id="150" w:name="_Toc216849396"/>
      <w:bookmarkStart w:id="151" w:name="_Toc220296146"/>
      <w:bookmarkStart w:id="152" w:name="_Toc226524969"/>
      <w:bookmarkStart w:id="153" w:name="_Toc220303016"/>
      <w:bookmarkStart w:id="154" w:name="_Toc136955723"/>
      <w:r w:rsidRPr="00756183">
        <w:lastRenderedPageBreak/>
        <w:t>A</w:t>
      </w:r>
      <w:r w:rsidR="007659B5">
        <w:t>ppendix 1 – Principles of Victorian Cancer Agency supported research</w:t>
      </w:r>
      <w:bookmarkStart w:id="155" w:name="_Toc254272250"/>
      <w:bookmarkStart w:id="156" w:name="_Toc254600732"/>
      <w:bookmarkEnd w:id="144"/>
      <w:bookmarkEnd w:id="145"/>
      <w:bookmarkEnd w:id="146"/>
      <w:bookmarkEnd w:id="147"/>
      <w:bookmarkEnd w:id="148"/>
      <w:bookmarkEnd w:id="149"/>
      <w:bookmarkEnd w:id="154"/>
    </w:p>
    <w:p w14:paraId="423756F8" w14:textId="1590D0B6" w:rsidR="00003734" w:rsidRPr="00756183" w:rsidRDefault="00BB29D5" w:rsidP="00F71763">
      <w:pPr>
        <w:pStyle w:val="Heading2"/>
      </w:pPr>
      <w:bookmarkStart w:id="157" w:name="_Toc363218540"/>
      <w:bookmarkStart w:id="158" w:name="_Toc365384820"/>
      <w:bookmarkStart w:id="159" w:name="_Toc423011420"/>
      <w:bookmarkStart w:id="160" w:name="_Toc425161289"/>
      <w:bookmarkStart w:id="161" w:name="_Toc425244018"/>
      <w:bookmarkStart w:id="162" w:name="_Toc425244263"/>
      <w:bookmarkStart w:id="163" w:name="_Toc447718757"/>
      <w:bookmarkStart w:id="164" w:name="_Toc447724648"/>
      <w:bookmarkStart w:id="165" w:name="_Toc481153471"/>
      <w:bookmarkStart w:id="166" w:name="_Toc481415699"/>
      <w:bookmarkStart w:id="167" w:name="_Toc509303596"/>
      <w:bookmarkStart w:id="168" w:name="_Toc136955724"/>
      <w:r>
        <w:t>A1.</w:t>
      </w:r>
      <w:r w:rsidR="00003734" w:rsidRPr="00756183">
        <w:t>1</w:t>
      </w:r>
      <w:r w:rsidR="00003734" w:rsidRPr="00756183">
        <w:tab/>
        <w:t xml:space="preserve">Translational </w:t>
      </w:r>
      <w:r w:rsidR="007659B5">
        <w:t>r</w:t>
      </w:r>
      <w:r w:rsidR="00003734" w:rsidRPr="00756183">
        <w:t>esearch</w:t>
      </w:r>
      <w:bookmarkEnd w:id="150"/>
      <w:bookmarkEnd w:id="151"/>
      <w:bookmarkEnd w:id="15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01031AC" w14:textId="77777777" w:rsidR="00003734" w:rsidRPr="00756183" w:rsidRDefault="00003734" w:rsidP="00F71763">
      <w:pPr>
        <w:pStyle w:val="DHHSbody"/>
      </w:pPr>
      <w:r w:rsidRPr="00756183">
        <w:t>Translational research is a general term encompassing research that focuses on clinical outcomes and quality research principles, carried out by multi- and inter-disciplinary teams that explicitly address how knowledge created from the research will be used to drive advances in an area of patient clinical need. The core elements that distinguish translational cancer research from more traditional bench-top research are patient clinical need, and collaboration between research and clinical disciplines. For the purposes of the VCA, translational research is outlined in Figure 1 and summarised as follows:</w:t>
      </w:r>
    </w:p>
    <w:p w14:paraId="684E8706" w14:textId="0FBA5FA6" w:rsidR="00003734" w:rsidRPr="00756183" w:rsidRDefault="00003734" w:rsidP="007659B5">
      <w:pPr>
        <w:pStyle w:val="DHHSbullet1"/>
      </w:pPr>
      <w:r w:rsidRPr="00756183">
        <w:t>T1: Encompasses the transfer of new knowledge of disease mechanisms gained in the laboratory into the development of new methods for diagnosis, therapy, and prevention and their first testing in humans</w:t>
      </w:r>
    </w:p>
    <w:p w14:paraId="279ECE78" w14:textId="77777777" w:rsidR="00003734" w:rsidRPr="00756183" w:rsidRDefault="00003734" w:rsidP="007659B5">
      <w:pPr>
        <w:pStyle w:val="DHHSbullet1"/>
      </w:pPr>
      <w:r w:rsidRPr="00756183">
        <w:t>T2/T3: Translates results from clinical studies into everyday clinical practice and health decision-making encompassing areas such as: epidemiology, behavioural science, psychology, communication, cognition, social marketing, economics, political science and policy.</w:t>
      </w:r>
    </w:p>
    <w:p w14:paraId="12638A8B" w14:textId="77777777" w:rsidR="00F71763" w:rsidRDefault="00F71763" w:rsidP="00F71763">
      <w:pPr>
        <w:pStyle w:val="DHHSbody"/>
        <w:rPr>
          <w:b/>
        </w:rPr>
      </w:pPr>
    </w:p>
    <w:p w14:paraId="0FC6ABC6" w14:textId="238959CB" w:rsidR="00003734" w:rsidRPr="00F71763" w:rsidRDefault="00003734" w:rsidP="007659B5">
      <w:pPr>
        <w:pStyle w:val="DHHStablecaption"/>
      </w:pPr>
      <w:r w:rsidRPr="00F71763">
        <w:t>Figure 1: Translational Research Continuum</w:t>
      </w:r>
    </w:p>
    <w:p w14:paraId="53B88406" w14:textId="0DEBAB6E" w:rsidR="00003734" w:rsidRPr="00A21996" w:rsidRDefault="00003734" w:rsidP="00F71763">
      <w:pPr>
        <w:pStyle w:val="DHHSbody"/>
      </w:pPr>
      <w:r>
        <w:rPr>
          <w:noProof/>
          <w:color w:val="2B579A"/>
          <w:shd w:val="clear" w:color="auto" w:fill="E6E6E6"/>
        </w:rPr>
        <w:drawing>
          <wp:inline distT="0" distB="0" distL="0" distR="0" wp14:anchorId="04C52EF6" wp14:editId="737D4FA3">
            <wp:extent cx="6162675" cy="3943350"/>
            <wp:effectExtent l="0" t="0" r="9525" b="0"/>
            <wp:docPr id="2" name="Picture 2" descr="The figure shows the progression of scientific knowledge from basic science via T1 research such as preclinical studies or animal research to human clinical research such as controlled observational studies or phase 3 clinical trials. It does this translation to humans through a T1 process such as case studies or phase 1 and 2 clinical trials. From there it moves to clinical practice via a T2 process such as guideline development, meta-analysis or systematic reviews . Practice based research sits between human clinical research and clinical practice. It involves phase 3 and 4 clinical trials, observational studies or survey research. T3 processes link  practice based research to clinical practice. Examples of T3 include dissemination or implementation research. T2 processes form the link between human clinical research and practice based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62675" cy="3943350"/>
                    </a:xfrm>
                    <a:prstGeom prst="rect">
                      <a:avLst/>
                    </a:prstGeom>
                    <a:noFill/>
                    <a:ln>
                      <a:noFill/>
                    </a:ln>
                  </pic:spPr>
                </pic:pic>
              </a:graphicData>
            </a:graphic>
          </wp:inline>
        </w:drawing>
      </w:r>
      <w:r w:rsidR="007659B5" w:rsidRPr="3CEEF680">
        <w:rPr>
          <w:i/>
          <w:iCs/>
        </w:rPr>
        <w:t>Note: This figure is a</w:t>
      </w:r>
      <w:r w:rsidRPr="3CEEF680">
        <w:rPr>
          <w:i/>
          <w:iCs/>
        </w:rPr>
        <w:t xml:space="preserve">dapted from the </w:t>
      </w:r>
      <w:hyperlink r:id="rId27" w:history="1">
        <w:r w:rsidRPr="3CEEF680">
          <w:rPr>
            <w:rStyle w:val="Hyperlink"/>
            <w:i/>
            <w:iCs/>
          </w:rPr>
          <w:t>US National Institutes of Health model for research translation for the NSW Health and Medical Research Strategic Review</w:t>
        </w:r>
      </w:hyperlink>
      <w:r w:rsidR="00A21996" w:rsidRPr="3CEEF680">
        <w:rPr>
          <w:i/>
          <w:iCs/>
        </w:rPr>
        <w:t xml:space="preserve"> </w:t>
      </w:r>
      <w:r w:rsidR="00A21996">
        <w:t>&lt;</w:t>
      </w:r>
      <w:r w:rsidR="00A21996" w:rsidRPr="006623E6">
        <w:t>https://www.medicalresearch.nsw.gov.au/app/uploads/2018/07/strategic-review-report-2012.pdf</w:t>
      </w:r>
      <w:r w:rsidR="00A21996">
        <w:t>&gt;</w:t>
      </w:r>
    </w:p>
    <w:p w14:paraId="0CA12422" w14:textId="77777777" w:rsidR="000468DB" w:rsidRDefault="000468DB" w:rsidP="00F71763">
      <w:pPr>
        <w:pStyle w:val="DHHSbody"/>
      </w:pPr>
    </w:p>
    <w:p w14:paraId="6D3B9A54" w14:textId="6F9B7A99" w:rsidR="00003734" w:rsidRPr="00756183" w:rsidRDefault="00003734" w:rsidP="00F71763">
      <w:pPr>
        <w:pStyle w:val="DHHSbody"/>
      </w:pPr>
      <w:r w:rsidRPr="00756183">
        <w:lastRenderedPageBreak/>
        <w:t xml:space="preserve">The translational research collaboration approach also differs from traditional collaborative research approaches where teams are typically assembled around similar scientific or medical fields, to one where the focus of collaboration may be between a range of disciplines, including researchers, clinicians, health service managers, clinician-managers and consumers. </w:t>
      </w:r>
    </w:p>
    <w:p w14:paraId="229C72D7" w14:textId="77777777" w:rsidR="00003734" w:rsidRPr="00756183" w:rsidRDefault="00003734" w:rsidP="00F71763">
      <w:pPr>
        <w:pStyle w:val="DHHSbody"/>
      </w:pPr>
      <w:r w:rsidRPr="00756183">
        <w:t>A translational research collaborative team may be expected to comprise:</w:t>
      </w:r>
    </w:p>
    <w:p w14:paraId="66EE725A" w14:textId="7AF3F5AB" w:rsidR="00003734" w:rsidRPr="00756183" w:rsidRDefault="007A5413" w:rsidP="007659B5">
      <w:pPr>
        <w:pStyle w:val="DHHSbullet1"/>
      </w:pPr>
      <w:r>
        <w:t>B</w:t>
      </w:r>
      <w:r w:rsidR="00003734" w:rsidRPr="00756183">
        <w:t>asic researchers working on gaining an understanding of, and/or identifying targets in, an area of i</w:t>
      </w:r>
      <w:r w:rsidR="00003734">
        <w:t>dentified patient clinical need</w:t>
      </w:r>
    </w:p>
    <w:p w14:paraId="64A5D523" w14:textId="23CC64CC" w:rsidR="00003734" w:rsidRPr="00756183" w:rsidRDefault="007A5413" w:rsidP="007659B5">
      <w:pPr>
        <w:pStyle w:val="DHHSbullet1"/>
      </w:pPr>
      <w:r>
        <w:t>C</w:t>
      </w:r>
      <w:r w:rsidR="00003734" w:rsidRPr="00756183">
        <w:t>linical trial co-ordinators guiding clinic</w:t>
      </w:r>
      <w:r w:rsidR="00003734">
        <w:t>al trials for research outcomes</w:t>
      </w:r>
    </w:p>
    <w:p w14:paraId="48EE95E0" w14:textId="047BD4C1" w:rsidR="00003734" w:rsidRPr="00756183" w:rsidRDefault="007A5413" w:rsidP="007659B5">
      <w:pPr>
        <w:pStyle w:val="DHHSbullet1"/>
      </w:pPr>
      <w:r>
        <w:t>C</w:t>
      </w:r>
      <w:r w:rsidR="00003734" w:rsidRPr="00756183">
        <w:t>linicians and practitioners who are involved with treating patients, assisting in the recruitment of patients into clinical trials, as well as advising on</w:t>
      </w:r>
      <w:r w:rsidR="00003734">
        <w:t xml:space="preserve"> areas of patient-clinical need</w:t>
      </w:r>
    </w:p>
    <w:p w14:paraId="03F89D60" w14:textId="41C23EBD" w:rsidR="00003734" w:rsidRPr="00756183" w:rsidRDefault="007A5413" w:rsidP="007659B5">
      <w:pPr>
        <w:pStyle w:val="DHHSbullet1"/>
      </w:pPr>
      <w:r>
        <w:t>H</w:t>
      </w:r>
      <w:r w:rsidR="00003734" w:rsidRPr="00756183">
        <w:t>ealth care service provider managers and policy makers</w:t>
      </w:r>
    </w:p>
    <w:p w14:paraId="73BA2E09" w14:textId="5EA1044B" w:rsidR="00003734" w:rsidRPr="00756183" w:rsidRDefault="007A5413" w:rsidP="007659B5">
      <w:pPr>
        <w:pStyle w:val="DHHSbullet1"/>
      </w:pPr>
      <w:r>
        <w:t>A</w:t>
      </w:r>
      <w:r w:rsidR="004006F2">
        <w:t xml:space="preserve">ctive </w:t>
      </w:r>
      <w:r w:rsidR="00003734" w:rsidRPr="00756183">
        <w:t xml:space="preserve">consumer </w:t>
      </w:r>
      <w:r w:rsidR="004006F2">
        <w:t>and community engagement</w:t>
      </w:r>
      <w:r w:rsidR="00003734" w:rsidRPr="00756183">
        <w:t>.</w:t>
      </w:r>
      <w:bookmarkStart w:id="169" w:name="_Toc226524970"/>
    </w:p>
    <w:p w14:paraId="4884F805" w14:textId="6D503FDC" w:rsidR="00003734" w:rsidRDefault="00003734" w:rsidP="00F71763">
      <w:pPr>
        <w:pStyle w:val="DHHSbody"/>
      </w:pPr>
      <w:r>
        <w:t>Please note, t</w:t>
      </w:r>
      <w:r w:rsidRPr="00756183">
        <w:t>he VCA does not fund basic discovery projects that may be better suited for other funding bodies such as National Health and Medical Research Council.</w:t>
      </w:r>
    </w:p>
    <w:p w14:paraId="5248BEE3" w14:textId="77777777" w:rsidR="0049050D" w:rsidRDefault="005D0148" w:rsidP="0049050D">
      <w:pPr>
        <w:pStyle w:val="DHHSbody"/>
      </w:pPr>
      <w:r>
        <w:rPr>
          <w:lang w:eastAsia="en-AU"/>
        </w:rPr>
        <w:t xml:space="preserve">Previously funded </w:t>
      </w:r>
      <w:r w:rsidR="00FB4632">
        <w:rPr>
          <w:lang w:eastAsia="en-AU"/>
        </w:rPr>
        <w:t xml:space="preserve">translational </w:t>
      </w:r>
      <w:r>
        <w:rPr>
          <w:lang w:eastAsia="en-AU"/>
        </w:rPr>
        <w:t>VCA projects are also available to view on the VCA website &lt;https://www.victoriancanceragency.</w:t>
      </w:r>
      <w:r w:rsidR="00FB4632">
        <w:rPr>
          <w:lang w:eastAsia="en-AU"/>
        </w:rPr>
        <w:t>vic.gov.au</w:t>
      </w:r>
      <w:r w:rsidR="005E75E0">
        <w:rPr>
          <w:lang w:eastAsia="en-AU"/>
        </w:rPr>
        <w:t>&gt;.</w:t>
      </w:r>
      <w:bookmarkStart w:id="170" w:name="_Toc363218541"/>
      <w:bookmarkStart w:id="171" w:name="_Toc365384821"/>
      <w:bookmarkStart w:id="172" w:name="_Toc423011421"/>
      <w:bookmarkStart w:id="173" w:name="_Toc425161290"/>
      <w:bookmarkStart w:id="174" w:name="_Toc425244019"/>
      <w:bookmarkStart w:id="175" w:name="_Toc425244264"/>
      <w:bookmarkStart w:id="176" w:name="_Toc447718758"/>
      <w:bookmarkStart w:id="177" w:name="_Toc447724649"/>
      <w:bookmarkStart w:id="178" w:name="_Toc481153472"/>
      <w:bookmarkStart w:id="179" w:name="_Toc481415700"/>
      <w:bookmarkStart w:id="180" w:name="_Toc509303597"/>
    </w:p>
    <w:p w14:paraId="302BAF42" w14:textId="6935DC13" w:rsidR="00003734" w:rsidRPr="00756183" w:rsidRDefault="00BB29D5" w:rsidP="00F71763">
      <w:pPr>
        <w:pStyle w:val="Heading2"/>
        <w:rPr>
          <w:rFonts w:cs="Arial"/>
          <w:sz w:val="20"/>
          <w:szCs w:val="20"/>
        </w:rPr>
      </w:pPr>
      <w:bookmarkStart w:id="181" w:name="_Toc136955725"/>
      <w:r>
        <w:t>A1.</w:t>
      </w:r>
      <w:r w:rsidR="00003734" w:rsidRPr="00756183">
        <w:t>2</w:t>
      </w:r>
      <w:bookmarkStart w:id="182" w:name="_Toc254272251"/>
      <w:bookmarkStart w:id="183" w:name="_Toc254600733"/>
      <w:r w:rsidR="00003734" w:rsidRPr="00756183">
        <w:tab/>
        <w:t>Collaboration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6EF4FD8" w14:textId="77777777" w:rsidR="00003734" w:rsidRPr="00756183" w:rsidRDefault="00003734" w:rsidP="00F71763">
      <w:pPr>
        <w:pStyle w:val="DHHSbody"/>
      </w:pPr>
      <w:r w:rsidRPr="00756183">
        <w:t xml:space="preserve">As the VCA has a focus on translational research, collaboration between disciplines and organisations is encouraged to increase the quality, capacity and sustainability of cancer research in Victoria. The VCA appreciates that collaboration currently occurs in many instances in relation to cancer research between disciplines and organisations within Victoria, as well as interstate and overseas. </w:t>
      </w:r>
    </w:p>
    <w:p w14:paraId="75D6D547" w14:textId="77777777" w:rsidR="00003734" w:rsidRPr="00756183" w:rsidRDefault="00003734" w:rsidP="00F71763">
      <w:pPr>
        <w:pStyle w:val="DHHSbody"/>
      </w:pPr>
      <w:r w:rsidRPr="00756183">
        <w:t>All people and organisations involved in the research project are considered to be collaborators. Associate/Co-Investigators represent a specific sub-set of collaborators who are directly involved in the conduct of the project, but not responsible for the direction and progress of the project. Other collaborators may only be providing support for a particular aspect of the research. For example, a collaborative partner may provide resource support (such as biobanking) that enables the research to be carried out or implemented into the clinical environment.</w:t>
      </w:r>
    </w:p>
    <w:p w14:paraId="4DC0ED64" w14:textId="00BDC48F" w:rsidR="00003734" w:rsidRDefault="00003734" w:rsidP="00F71763">
      <w:pPr>
        <w:pStyle w:val="DHHSbody"/>
      </w:pPr>
      <w:r w:rsidRPr="00756183">
        <w:t xml:space="preserve">By encouraging collaborative arrangements, the VCA is asking researchers to consider looking beyond their discrete departments and organisations, and to seek out people who may be doing similar research. This may allow for stronger and higher quality research </w:t>
      </w:r>
      <w:r w:rsidR="00886B3C" w:rsidRPr="00756183">
        <w:t>proposals and</w:t>
      </w:r>
      <w:r w:rsidRPr="00756183">
        <w:t xml:space="preserve"> reduce the possibility of research being duplicated.</w:t>
      </w:r>
    </w:p>
    <w:p w14:paraId="247EA38F" w14:textId="27050B02" w:rsidR="00D52762" w:rsidRDefault="00D52762" w:rsidP="00D52762">
      <w:pPr>
        <w:pStyle w:val="DHHSbody"/>
      </w:pPr>
      <w:r>
        <w:t>All people and organisations involved in the research project are considered to be collaborators. These include Associate Investigators, Co-Investigators, and Consumers.</w:t>
      </w:r>
      <w:r w:rsidR="00CF445F">
        <w:t xml:space="preserve"> Consumers may also be Associate Investigators. </w:t>
      </w:r>
    </w:p>
    <w:p w14:paraId="4B7B9044" w14:textId="2C716344" w:rsidR="00D52762" w:rsidRDefault="00D52762" w:rsidP="00D52762">
      <w:pPr>
        <w:pStyle w:val="DHHSbody"/>
      </w:pPr>
      <w:r>
        <w:t>Associate Investigators and Co-Investigators represent a subset of researchers that makes a significant contribution to the project objectives and ensures progress is made toward key milestones. An Associate Investigator (AI) is defined as an investigator who provides some intellectual and/or practical input into the research and whose participation may warrant inclusion of their name on publications.</w:t>
      </w:r>
    </w:p>
    <w:p w14:paraId="4E587540" w14:textId="2D4523CF" w:rsidR="00D52762" w:rsidRDefault="00D52762" w:rsidP="00D52762">
      <w:pPr>
        <w:pStyle w:val="DHHSbody"/>
      </w:pPr>
      <w:r>
        <w:t xml:space="preserve">The Co-Investigator's role in the grant is to contribute to the development of the research proposal, participate in the design and execution of the research, </w:t>
      </w:r>
      <w:r w:rsidR="00C969E4">
        <w:t>analyse</w:t>
      </w:r>
      <w:r>
        <w:t xml:space="preserve"> the data, and interpret the results.</w:t>
      </w:r>
    </w:p>
    <w:p w14:paraId="63BB2F0F" w14:textId="6FB4B1FF" w:rsidR="00D52762" w:rsidRDefault="00D52762" w:rsidP="00D52762">
      <w:pPr>
        <w:pStyle w:val="DHHSbody"/>
      </w:pPr>
      <w:r>
        <w:t>Associate Investigators and Co-Investigators are not able to draw salary from the fellowship</w:t>
      </w:r>
      <w:r w:rsidR="008F2BC4">
        <w:t>/grant</w:t>
      </w:r>
      <w:r>
        <w:t xml:space="preserve"> direct research costs. Consumers may be remunerated for their contribution to the propos</w:t>
      </w:r>
      <w:r w:rsidR="008A1A41">
        <w:t>ed research</w:t>
      </w:r>
      <w:r>
        <w:t>, but they are unable to draw a salary</w:t>
      </w:r>
      <w:r w:rsidR="008A1A41">
        <w:t>.</w:t>
      </w:r>
    </w:p>
    <w:p w14:paraId="2C52E10C" w14:textId="6B9F21A8" w:rsidR="00D52762" w:rsidRDefault="00D52762" w:rsidP="00D52762">
      <w:pPr>
        <w:pStyle w:val="DHHSbody"/>
      </w:pPr>
      <w:r>
        <w:lastRenderedPageBreak/>
        <w:t>Collaboration may be between individuals, departments and/or organisations. This includes organisations or individuals that provide specific resources or services that contribute to the research, such as registries or statistical analysis.</w:t>
      </w:r>
    </w:p>
    <w:p w14:paraId="3EF3B7F9" w14:textId="3A3883E5" w:rsidR="00D52762" w:rsidRDefault="00E91FBB" w:rsidP="00D52762">
      <w:pPr>
        <w:pStyle w:val="DHHSbody"/>
      </w:pPr>
      <w:r>
        <w:t>Collaboration may be between individuals, departments and/or organisations. This includes organisations or individuals that provide specific resources or services that contribute to the research, such as registries or statistical analysis.</w:t>
      </w:r>
    </w:p>
    <w:p w14:paraId="7D60050B" w14:textId="5A7E2B16" w:rsidR="00003734" w:rsidRPr="003B5B33" w:rsidRDefault="00BB29D5" w:rsidP="00F71763">
      <w:pPr>
        <w:pStyle w:val="Heading2"/>
      </w:pPr>
      <w:bookmarkStart w:id="184" w:name="_Toc509303598"/>
      <w:bookmarkStart w:id="185" w:name="_Toc136955726"/>
      <w:r>
        <w:t>A1.</w:t>
      </w:r>
      <w:r w:rsidR="00003734">
        <w:t>3</w:t>
      </w:r>
      <w:r w:rsidR="00D130D3">
        <w:tab/>
      </w:r>
      <w:r w:rsidR="00003734" w:rsidRPr="003B5B33">
        <w:t xml:space="preserve">Consumer and </w:t>
      </w:r>
      <w:r w:rsidR="007659B5">
        <w:t>c</w:t>
      </w:r>
      <w:r w:rsidR="00003734" w:rsidRPr="003B5B33">
        <w:t xml:space="preserve">ommunity </w:t>
      </w:r>
      <w:bookmarkEnd w:id="184"/>
      <w:r w:rsidR="000C7C81">
        <w:t>engage</w:t>
      </w:r>
      <w:r w:rsidR="00003734" w:rsidRPr="003B5B33">
        <w:t>ment</w:t>
      </w:r>
      <w:bookmarkEnd w:id="185"/>
    </w:p>
    <w:p w14:paraId="1093DB5C" w14:textId="6E0868BC" w:rsidR="00F51627" w:rsidRDefault="008021EB" w:rsidP="00F51627">
      <w:pPr>
        <w:pStyle w:val="DHHSbody"/>
      </w:pPr>
      <w:bookmarkStart w:id="186" w:name="_Hlk13146512"/>
      <w:r w:rsidRPr="00D22C79">
        <w:t xml:space="preserve">The VCA, in alignment with the NHMRC </w:t>
      </w:r>
      <w:r>
        <w:t xml:space="preserve">and Cancer Australia </w:t>
      </w:r>
      <w:r w:rsidRPr="00D22C79">
        <w:t xml:space="preserve">recognises that involving consumers and community members can add value to health and medical research and have a right and responsibility to do so. </w:t>
      </w:r>
      <w:r w:rsidR="00F51627">
        <w:t>VCA considers consumer and community engagement integral to cancer research. Those affected by research have a right to be involved in research</w:t>
      </w:r>
      <w:r w:rsidR="004851BF">
        <w:rPr>
          <w:rStyle w:val="FootnoteReference"/>
        </w:rPr>
        <w:footnoteReference w:id="6"/>
      </w:r>
      <w:r w:rsidR="00F51627">
        <w:t xml:space="preserve">, particularly where research is publicly funded. Their input should be included throughout all stages and types of research.  </w:t>
      </w:r>
    </w:p>
    <w:p w14:paraId="7BF56796" w14:textId="17FA28D7" w:rsidR="00F51627" w:rsidRDefault="00F51627" w:rsidP="004E26E5">
      <w:pPr>
        <w:pStyle w:val="DHHSbody"/>
      </w:pPr>
      <w:r>
        <w:t>A lived experience perspective improves the likelihood of achieving the goals and objectives of proposed research, including the impact and broader relevance of the research to consumers and the community.</w:t>
      </w:r>
    </w:p>
    <w:p w14:paraId="2A74AE63" w14:textId="54E6D32B" w:rsidR="004E26E5" w:rsidRDefault="004E26E5" w:rsidP="004E26E5">
      <w:pPr>
        <w:pStyle w:val="DHHSbody"/>
      </w:pPr>
      <w:r>
        <w:t xml:space="preserve">As noted on the Cancer Australia website, </w:t>
      </w:r>
      <w:r w:rsidRPr="005770E1">
        <w:rPr>
          <w:i/>
          <w:iCs/>
        </w:rPr>
        <w:t>“Evidence suggests that involving consumers leads to improved health outcomes, improved safety, a more trusted health system and a more satisfied workforce”</w:t>
      </w:r>
      <w:r w:rsidR="005770E1">
        <w:t>.</w:t>
      </w:r>
      <w:r>
        <w:t xml:space="preserve"> </w:t>
      </w:r>
    </w:p>
    <w:p w14:paraId="2BBC807A" w14:textId="40ADB8E6" w:rsidR="789FC3B9" w:rsidRDefault="0C1AB899" w:rsidP="00DE0D05">
      <w:pPr>
        <w:pStyle w:val="DHHSbody"/>
        <w:rPr>
          <w:color w:val="000000" w:themeColor="text1"/>
        </w:rPr>
      </w:pPr>
      <w:r w:rsidRPr="0C1AB899">
        <w:rPr>
          <w:rFonts w:eastAsia="Arial" w:cs="Arial"/>
          <w:color w:val="000000" w:themeColor="text1"/>
        </w:rPr>
        <w:t xml:space="preserve">Please refer to the </w:t>
      </w:r>
      <w:r w:rsidR="002E7B2E">
        <w:rPr>
          <w:rFonts w:eastAsia="Arial" w:cs="Arial"/>
          <w:i/>
          <w:iCs/>
          <w:color w:val="000000" w:themeColor="text1"/>
        </w:rPr>
        <w:t>‘</w:t>
      </w:r>
      <w:hyperlink r:id="rId28" w:history="1">
        <w:r w:rsidRPr="00B647A1">
          <w:rPr>
            <w:rStyle w:val="Hyperlink"/>
            <w:rFonts w:eastAsia="Arial" w:cs="Arial"/>
            <w:i/>
            <w:iCs/>
          </w:rPr>
          <w:t>VCA Statement on Consumer Engagement in Cancer Research’</w:t>
        </w:r>
      </w:hyperlink>
      <w:r w:rsidRPr="0C1AB899">
        <w:rPr>
          <w:rFonts w:eastAsia="Arial" w:cs="Arial"/>
          <w:color w:val="000000" w:themeColor="text1"/>
        </w:rPr>
        <w:t>. This Statement provides practical guidance for researchers to actively and authentically</w:t>
      </w:r>
      <w:r w:rsidR="00CC6522">
        <w:rPr>
          <w:rFonts w:eastAsia="Arial" w:cs="Arial"/>
          <w:color w:val="000000" w:themeColor="text1"/>
        </w:rPr>
        <w:t>,</w:t>
      </w:r>
      <w:r w:rsidRPr="0C1AB899">
        <w:rPr>
          <w:rFonts w:eastAsia="Arial" w:cs="Arial"/>
          <w:color w:val="000000" w:themeColor="text1"/>
        </w:rPr>
        <w:t xml:space="preserve"> engage consumers and the community in their proposed research.</w:t>
      </w:r>
    </w:p>
    <w:p w14:paraId="130EEC00" w14:textId="1882759C" w:rsidR="008021EB" w:rsidRDefault="008021EB" w:rsidP="008021EB">
      <w:pPr>
        <w:pStyle w:val="DHHSbody"/>
        <w:rPr>
          <w:bCs/>
        </w:rPr>
      </w:pPr>
      <w:r>
        <w:rPr>
          <w:bCs/>
        </w:rPr>
        <w:t xml:space="preserve">Grant </w:t>
      </w:r>
      <w:r w:rsidR="008A2CB3">
        <w:rPr>
          <w:bCs/>
        </w:rPr>
        <w:t xml:space="preserve">and fellowship </w:t>
      </w:r>
      <w:r>
        <w:rPr>
          <w:bCs/>
        </w:rPr>
        <w:t xml:space="preserve">applications must outline consumer and community </w:t>
      </w:r>
      <w:r w:rsidR="00B647A1">
        <w:rPr>
          <w:bCs/>
        </w:rPr>
        <w:t>engage</w:t>
      </w:r>
      <w:r>
        <w:rPr>
          <w:bCs/>
        </w:rPr>
        <w:t>ment throughout the proposed project, including:</w:t>
      </w:r>
    </w:p>
    <w:p w14:paraId="3E808368" w14:textId="4A8F996E" w:rsidR="008021EB" w:rsidRDefault="00CC6522" w:rsidP="008021EB">
      <w:pPr>
        <w:pStyle w:val="DHHSbody"/>
        <w:numPr>
          <w:ilvl w:val="0"/>
          <w:numId w:val="33"/>
        </w:numPr>
        <w:rPr>
          <w:bCs/>
        </w:rPr>
      </w:pPr>
      <w:r>
        <w:rPr>
          <w:bCs/>
        </w:rPr>
        <w:t>A</w:t>
      </w:r>
      <w:r w:rsidR="008021EB">
        <w:rPr>
          <w:bCs/>
        </w:rPr>
        <w:t xml:space="preserve"> plan for the level of consumer and community </w:t>
      </w:r>
      <w:r w:rsidR="00B647A1">
        <w:rPr>
          <w:bCs/>
        </w:rPr>
        <w:t>engage</w:t>
      </w:r>
      <w:r w:rsidR="008021EB">
        <w:rPr>
          <w:bCs/>
        </w:rPr>
        <w:t>ment in the development of the research proposal</w:t>
      </w:r>
    </w:p>
    <w:p w14:paraId="633E0A97" w14:textId="5594018E" w:rsidR="008021EB" w:rsidRDefault="00CC6522" w:rsidP="008021EB">
      <w:pPr>
        <w:pStyle w:val="DHHSbody"/>
        <w:numPr>
          <w:ilvl w:val="0"/>
          <w:numId w:val="33"/>
        </w:numPr>
        <w:rPr>
          <w:bCs/>
        </w:rPr>
      </w:pPr>
      <w:r>
        <w:rPr>
          <w:bCs/>
        </w:rPr>
        <w:t>H</w:t>
      </w:r>
      <w:r w:rsidR="008021EB">
        <w:rPr>
          <w:bCs/>
        </w:rPr>
        <w:t xml:space="preserve">ow this </w:t>
      </w:r>
      <w:r w:rsidR="00B647A1">
        <w:rPr>
          <w:bCs/>
        </w:rPr>
        <w:t>engage</w:t>
      </w:r>
      <w:r w:rsidR="008021EB">
        <w:rPr>
          <w:bCs/>
        </w:rPr>
        <w:t xml:space="preserve">ment will be maintained over the course </w:t>
      </w:r>
      <w:r w:rsidR="00304D6E">
        <w:rPr>
          <w:bCs/>
        </w:rPr>
        <w:t xml:space="preserve">and all stages </w:t>
      </w:r>
      <w:r w:rsidR="008021EB">
        <w:rPr>
          <w:bCs/>
        </w:rPr>
        <w:t>of the research.</w:t>
      </w:r>
    </w:p>
    <w:p w14:paraId="5E292C94" w14:textId="5B68AC4E" w:rsidR="008021EB" w:rsidRDefault="004E26E5" w:rsidP="008021EB">
      <w:pPr>
        <w:pStyle w:val="DHHSbody"/>
        <w:rPr>
          <w:bCs/>
        </w:rPr>
      </w:pPr>
      <w:r w:rsidRPr="00FC030B">
        <w:t>The application needs to demonstrate how the consumer representative/s will be engaged and contribute to the research proposal.</w:t>
      </w:r>
      <w:r>
        <w:t xml:space="preserve"> </w:t>
      </w:r>
      <w:r w:rsidR="008021EB">
        <w:rPr>
          <w:bCs/>
        </w:rPr>
        <w:t>Researchers are strongly encouraged to work with their research offices, applicable philanthropic organisations and relevant advocacy groups to ensure continuous and substantive consumer engagement in their research project.</w:t>
      </w:r>
    </w:p>
    <w:p w14:paraId="56C2A73B" w14:textId="28A40501" w:rsidR="008021EB" w:rsidRPr="00FC030B" w:rsidRDefault="008021EB" w:rsidP="008021EB">
      <w:pPr>
        <w:pStyle w:val="DHHSbody"/>
        <w:rPr>
          <w:rFonts w:eastAsia="Times New Roman"/>
        </w:rPr>
      </w:pPr>
      <w:r w:rsidRPr="00A23900">
        <w:rPr>
          <w:u w:val="single"/>
        </w:rPr>
        <w:t>Applications will be deemed ineligible</w:t>
      </w:r>
      <w:r w:rsidRPr="00933EC2">
        <w:t xml:space="preserve"> for funding if the consumer and community </w:t>
      </w:r>
      <w:r w:rsidR="00450340">
        <w:t>engagement</w:t>
      </w:r>
      <w:r w:rsidRPr="00933EC2">
        <w:t xml:space="preserve"> </w:t>
      </w:r>
      <w:r w:rsidR="005A1BBF">
        <w:t xml:space="preserve">section or form </w:t>
      </w:r>
      <w:r w:rsidRPr="00933EC2">
        <w:t>is left blank</w:t>
      </w:r>
      <w:r w:rsidR="005A1BBF">
        <w:t>,</w:t>
      </w:r>
      <w:r w:rsidRPr="00933EC2">
        <w:t xml:space="preserve"> or </w:t>
      </w:r>
      <w:r w:rsidR="00BC4B07">
        <w:t>A</w:t>
      </w:r>
      <w:r w:rsidRPr="00933EC2">
        <w:t>pplicants indicate that this section is not applicable to their research proposal.</w:t>
      </w:r>
      <w:r w:rsidR="00CF7A0C">
        <w:t xml:space="preserve"> </w:t>
      </w:r>
      <w:r w:rsidR="00CF7A0C" w:rsidRPr="00CF7A0C">
        <w:t xml:space="preserve">If the Consumer Evaluation Panel deem the consumer </w:t>
      </w:r>
      <w:r w:rsidR="000B6FE3">
        <w:t xml:space="preserve">engagement </w:t>
      </w:r>
      <w:r w:rsidR="00CF7A0C" w:rsidRPr="00CF7A0C">
        <w:t xml:space="preserve">in </w:t>
      </w:r>
      <w:r w:rsidR="00484663">
        <w:t>an application</w:t>
      </w:r>
      <w:r w:rsidR="00CF7A0C" w:rsidRPr="00CF7A0C">
        <w:t xml:space="preserve"> to be insufficient, </w:t>
      </w:r>
      <w:r w:rsidR="00484663">
        <w:t>it</w:t>
      </w:r>
      <w:r w:rsidR="00CF7A0C" w:rsidRPr="00CF7A0C">
        <w:t xml:space="preserve"> will be deemed ineligible to receive funding.  </w:t>
      </w:r>
    </w:p>
    <w:p w14:paraId="44D77555" w14:textId="2193390D" w:rsidR="00FB7F12" w:rsidRDefault="00FB7F12" w:rsidP="00FB7F12">
      <w:pPr>
        <w:pStyle w:val="DHHSbody"/>
      </w:pPr>
      <w:bookmarkStart w:id="187" w:name="_Hlk13470532"/>
      <w:r w:rsidRPr="00EA42E0">
        <w:t xml:space="preserve">For detailed guidelines on consumer and community </w:t>
      </w:r>
      <w:r w:rsidR="00B647A1">
        <w:t>engage</w:t>
      </w:r>
      <w:r w:rsidRPr="00EA42E0">
        <w:t xml:space="preserve">ment in medical research, </w:t>
      </w:r>
      <w:r w:rsidR="00BC4B07">
        <w:t>A</w:t>
      </w:r>
      <w:r w:rsidRPr="00EA42E0">
        <w:t>pplicants should refer to</w:t>
      </w:r>
      <w:r>
        <w:t>:</w:t>
      </w:r>
      <w:r w:rsidRPr="00EA42E0">
        <w:t xml:space="preserve"> </w:t>
      </w:r>
    </w:p>
    <w:p w14:paraId="27B69EB6" w14:textId="77777777" w:rsidR="005B7B0C" w:rsidRPr="005B7B0C" w:rsidRDefault="17EFA9FA" w:rsidP="005B7B0C">
      <w:pPr>
        <w:pStyle w:val="ListParagraph"/>
        <w:numPr>
          <w:ilvl w:val="0"/>
          <w:numId w:val="46"/>
        </w:numPr>
        <w:spacing w:after="160" w:line="257" w:lineRule="auto"/>
        <w:rPr>
          <w:rFonts w:ascii="Arial" w:eastAsia="Arial" w:hAnsi="Arial" w:cs="Arial"/>
          <w:i/>
          <w:iCs/>
          <w:color w:val="000000" w:themeColor="text1"/>
        </w:rPr>
      </w:pPr>
      <w:r w:rsidRPr="00CE4AF3">
        <w:rPr>
          <w:rFonts w:ascii="Arial" w:eastAsia="Arial" w:hAnsi="Arial" w:cs="Arial"/>
          <w:i/>
          <w:color w:val="365F91" w:themeColor="accent1" w:themeShade="BF"/>
        </w:rPr>
        <w:t xml:space="preserve">The </w:t>
      </w:r>
      <w:r w:rsidRPr="17EFA9FA">
        <w:rPr>
          <w:rFonts w:ascii="Arial" w:eastAsia="Arial" w:hAnsi="Arial" w:cs="Arial"/>
          <w:i/>
          <w:iCs/>
          <w:color w:val="365F91" w:themeColor="accent1" w:themeShade="BF"/>
        </w:rPr>
        <w:t xml:space="preserve">NHMRC </w:t>
      </w:r>
      <w:hyperlink r:id="rId29" w:history="1">
        <w:r w:rsidRPr="17EFA9FA">
          <w:rPr>
            <w:rStyle w:val="Hyperlink"/>
            <w:rFonts w:ascii="Arial" w:eastAsia="Arial" w:hAnsi="Arial" w:cs="Arial"/>
          </w:rPr>
          <w:t>Consumer and Community Engagement Toolkit and Associated Resources</w:t>
        </w:r>
      </w:hyperlink>
      <w:r w:rsidRPr="17EFA9FA">
        <w:rPr>
          <w:rFonts w:ascii="Arial" w:eastAsia="Arial" w:hAnsi="Arial" w:cs="Arial"/>
          <w:color w:val="000000" w:themeColor="text1"/>
        </w:rPr>
        <w:t xml:space="preserve">  (Particularly helpful are the downloadable forms at the bottom of this webpage).</w:t>
      </w:r>
    </w:p>
    <w:p w14:paraId="12CF7948" w14:textId="3836C1D3" w:rsidR="17EFA9FA" w:rsidRPr="005B7B0C" w:rsidRDefault="17EFA9FA" w:rsidP="005B7B0C">
      <w:pPr>
        <w:pStyle w:val="ListParagraph"/>
        <w:numPr>
          <w:ilvl w:val="0"/>
          <w:numId w:val="46"/>
        </w:numPr>
        <w:spacing w:after="160" w:line="257" w:lineRule="auto"/>
        <w:rPr>
          <w:rFonts w:ascii="Arial" w:eastAsia="Arial" w:hAnsi="Arial" w:cs="Arial"/>
          <w:i/>
          <w:iCs/>
          <w:color w:val="000000" w:themeColor="text1"/>
        </w:rPr>
      </w:pPr>
      <w:r w:rsidRPr="005B7B0C">
        <w:rPr>
          <w:rFonts w:ascii="Arial" w:eastAsia="Arial" w:hAnsi="Arial" w:cs="Arial"/>
          <w:i/>
          <w:iCs/>
          <w:color w:val="365F91" w:themeColor="accent1" w:themeShade="BF"/>
        </w:rPr>
        <w:t xml:space="preserve">Cancer Council NSW </w:t>
      </w:r>
      <w:hyperlink r:id="rId30" w:history="1">
        <w:r w:rsidRPr="005B7B0C">
          <w:rPr>
            <w:rStyle w:val="Hyperlink"/>
            <w:rFonts w:ascii="Arial" w:eastAsia="Arial" w:hAnsi="Arial" w:cs="Arial"/>
          </w:rPr>
          <w:t xml:space="preserve">Consumer Review Guidelines for research grant applications   </w:t>
        </w:r>
      </w:hyperlink>
      <w:r w:rsidRPr="005B7B0C">
        <w:rPr>
          <w:rFonts w:ascii="Arial" w:eastAsia="Arial" w:hAnsi="Arial" w:cs="Arial"/>
          <w:color w:val="0070C0"/>
        </w:rPr>
        <w:t xml:space="preserve"> </w:t>
      </w:r>
    </w:p>
    <w:p w14:paraId="4AA7C139" w14:textId="59FC0F03" w:rsidR="17EFA9FA" w:rsidRDefault="17EFA9FA" w:rsidP="00A83F07">
      <w:pPr>
        <w:pStyle w:val="ListParagraph"/>
        <w:numPr>
          <w:ilvl w:val="0"/>
          <w:numId w:val="46"/>
        </w:numPr>
        <w:spacing w:after="160" w:line="257" w:lineRule="auto"/>
        <w:rPr>
          <w:rFonts w:ascii="Arial" w:eastAsia="Arial" w:hAnsi="Arial" w:cs="Arial"/>
          <w:i/>
          <w:iCs/>
          <w:color w:val="000000" w:themeColor="text1"/>
        </w:rPr>
      </w:pPr>
      <w:r w:rsidRPr="17EFA9FA">
        <w:rPr>
          <w:rFonts w:ascii="Arial" w:eastAsia="Arial" w:hAnsi="Arial" w:cs="Arial"/>
          <w:i/>
          <w:iCs/>
          <w:color w:val="365F91" w:themeColor="accent1" w:themeShade="BF"/>
        </w:rPr>
        <w:t xml:space="preserve">The Consumer and Community Involvement Program  </w:t>
      </w:r>
      <w:hyperlink r:id="rId31" w:history="1">
        <w:r w:rsidRPr="17EFA9FA">
          <w:rPr>
            <w:rStyle w:val="Hyperlink"/>
            <w:rFonts w:ascii="Arial" w:eastAsia="Arial" w:hAnsi="Arial" w:cs="Arial"/>
          </w:rPr>
          <w:t>CCI Program</w:t>
        </w:r>
      </w:hyperlink>
      <w:r w:rsidRPr="17EFA9FA">
        <w:rPr>
          <w:rFonts w:ascii="Arial" w:eastAsia="Arial" w:hAnsi="Arial" w:cs="Arial"/>
          <w:color w:val="000000" w:themeColor="text1"/>
        </w:rPr>
        <w:t xml:space="preserve"> </w:t>
      </w:r>
    </w:p>
    <w:p w14:paraId="5256CD4B" w14:textId="1CAAF436" w:rsidR="17EFA9FA" w:rsidRDefault="17EFA9FA" w:rsidP="00A83F07">
      <w:pPr>
        <w:pStyle w:val="ListParagraph"/>
        <w:numPr>
          <w:ilvl w:val="0"/>
          <w:numId w:val="46"/>
        </w:numPr>
        <w:spacing w:after="160" w:line="257" w:lineRule="auto"/>
        <w:rPr>
          <w:rFonts w:ascii="Calibri" w:eastAsia="Calibri" w:hAnsi="Calibri" w:cs="Calibri"/>
          <w:i/>
          <w:iCs/>
          <w:color w:val="000000" w:themeColor="text1"/>
        </w:rPr>
      </w:pPr>
      <w:r w:rsidRPr="17EFA9FA">
        <w:rPr>
          <w:rFonts w:ascii="Arial" w:eastAsia="Arial" w:hAnsi="Arial" w:cs="Arial"/>
          <w:i/>
          <w:iCs/>
          <w:color w:val="365F91" w:themeColor="accent1" w:themeShade="BF"/>
        </w:rPr>
        <w:t>Cancer Australia</w:t>
      </w:r>
      <w:r w:rsidRPr="17EFA9FA">
        <w:rPr>
          <w:rFonts w:ascii="Arial" w:eastAsia="Arial" w:hAnsi="Arial" w:cs="Arial"/>
          <w:color w:val="000000" w:themeColor="text1"/>
        </w:rPr>
        <w:t xml:space="preserve">   </w:t>
      </w:r>
      <w:hyperlink r:id="rId32" w:history="1">
        <w:r w:rsidRPr="17EFA9FA">
          <w:rPr>
            <w:rStyle w:val="Hyperlink"/>
            <w:rFonts w:ascii="Arial" w:eastAsia="Arial" w:hAnsi="Arial" w:cs="Arial"/>
          </w:rPr>
          <w:t>Consumer engagement | Cancer Australia</w:t>
        </w:r>
      </w:hyperlink>
    </w:p>
    <w:p w14:paraId="307CC1EB" w14:textId="06F2B277" w:rsidR="17EFA9FA" w:rsidRDefault="17EFA9FA" w:rsidP="00A83F07">
      <w:pPr>
        <w:pStyle w:val="ListParagraph"/>
        <w:numPr>
          <w:ilvl w:val="0"/>
          <w:numId w:val="46"/>
        </w:numPr>
        <w:spacing w:after="160" w:line="257" w:lineRule="auto"/>
        <w:rPr>
          <w:rFonts w:ascii="Arial" w:eastAsia="Arial" w:hAnsi="Arial" w:cs="Arial"/>
          <w:i/>
          <w:iCs/>
          <w:color w:val="000000" w:themeColor="text1"/>
        </w:rPr>
      </w:pPr>
      <w:r w:rsidRPr="17EFA9FA">
        <w:rPr>
          <w:rFonts w:ascii="Arial" w:eastAsia="Arial" w:hAnsi="Arial" w:cs="Arial"/>
          <w:i/>
          <w:iCs/>
          <w:color w:val="365F91" w:themeColor="accent1" w:themeShade="BF"/>
        </w:rPr>
        <w:t xml:space="preserve">Victorian Cancer Agency </w:t>
      </w:r>
      <w:hyperlink r:id="rId33" w:history="1">
        <w:r w:rsidRPr="17EFA9FA">
          <w:rPr>
            <w:rStyle w:val="Hyperlink"/>
            <w:rFonts w:ascii="Arial" w:eastAsia="Arial" w:hAnsi="Arial" w:cs="Arial"/>
            <w:i/>
            <w:iCs/>
          </w:rPr>
          <w:t>VCA funding rules</w:t>
        </w:r>
      </w:hyperlink>
      <w:r w:rsidRPr="17EFA9FA">
        <w:rPr>
          <w:rFonts w:ascii="Arial" w:eastAsia="Arial" w:hAnsi="Arial" w:cs="Arial"/>
          <w:color w:val="000000" w:themeColor="text1"/>
        </w:rPr>
        <w:t xml:space="preserve"> </w:t>
      </w:r>
    </w:p>
    <w:p w14:paraId="1E666F95" w14:textId="24EE08A8" w:rsidR="17EFA9FA" w:rsidRDefault="17EFA9FA" w:rsidP="00CE4AF3">
      <w:pPr>
        <w:pStyle w:val="ListParagraph"/>
        <w:numPr>
          <w:ilvl w:val="0"/>
          <w:numId w:val="46"/>
        </w:numPr>
        <w:spacing w:after="160" w:line="257" w:lineRule="auto"/>
      </w:pPr>
      <w:r w:rsidRPr="17EFA9FA">
        <w:rPr>
          <w:rFonts w:ascii="Arial" w:eastAsia="Arial" w:hAnsi="Arial" w:cs="Arial"/>
          <w:i/>
          <w:iCs/>
          <w:color w:val="365F91" w:themeColor="accent1" w:themeShade="BF"/>
        </w:rPr>
        <w:t>Victorian Comprehensive Cancer Centre Alliance</w:t>
      </w:r>
      <w:r w:rsidRPr="17EFA9FA">
        <w:rPr>
          <w:rFonts w:ascii="Arial" w:eastAsia="Arial" w:hAnsi="Arial" w:cs="Arial"/>
          <w:color w:val="000000" w:themeColor="text1"/>
        </w:rPr>
        <w:t xml:space="preserve"> </w:t>
      </w:r>
      <w:hyperlink r:id="rId34" w:history="1">
        <w:r w:rsidRPr="17EFA9FA">
          <w:rPr>
            <w:rStyle w:val="Hyperlink"/>
            <w:rFonts w:ascii="Arial" w:eastAsia="Arial" w:hAnsi="Arial" w:cs="Arial"/>
          </w:rPr>
          <w:t>Consumer Engagement Toolkit</w:t>
        </w:r>
      </w:hyperlink>
    </w:p>
    <w:p w14:paraId="1ECB011B" w14:textId="0466C350" w:rsidR="00FB7F12" w:rsidRPr="00CC6522" w:rsidRDefault="00FB7F12" w:rsidP="00FB7F12">
      <w:pPr>
        <w:pStyle w:val="DHHSbody"/>
      </w:pPr>
      <w:r w:rsidRPr="00CC6522">
        <w:lastRenderedPageBreak/>
        <w:t>For assistance in finding a consumer to contribute to your project</w:t>
      </w:r>
      <w:r w:rsidR="00E74CFE">
        <w:t>, A</w:t>
      </w:r>
      <w:r w:rsidR="00FE03F5" w:rsidRPr="00CC6522">
        <w:t xml:space="preserve">pplicants </w:t>
      </w:r>
      <w:r w:rsidRPr="00CC6522">
        <w:t xml:space="preserve">may also consider contacting hospital </w:t>
      </w:r>
      <w:r w:rsidR="00A54367">
        <w:t>consumer</w:t>
      </w:r>
      <w:r w:rsidR="00E74CFE">
        <w:t xml:space="preserve"> committees</w:t>
      </w:r>
      <w:r w:rsidRPr="00CC6522">
        <w:t xml:space="preserve"> or </w:t>
      </w:r>
      <w:r w:rsidR="00CC6522" w:rsidRPr="00CC6522">
        <w:t>relevant</w:t>
      </w:r>
      <w:r w:rsidRPr="00CC6522">
        <w:t xml:space="preserve"> philanthropic organisations.</w:t>
      </w:r>
    </w:p>
    <w:bookmarkEnd w:id="186"/>
    <w:bookmarkEnd w:id="187"/>
    <w:p w14:paraId="52C82F49" w14:textId="48D2F606" w:rsidR="00F46673" w:rsidRDefault="00F46673">
      <w:pPr>
        <w:rPr>
          <w:rFonts w:ascii="Arial" w:eastAsia="Times" w:hAnsi="Arial"/>
        </w:rPr>
      </w:pPr>
    </w:p>
    <w:p w14:paraId="64CAD45E" w14:textId="5EA8C712" w:rsidR="00003734" w:rsidRPr="00BD36C1" w:rsidRDefault="007659B5" w:rsidP="00F71763">
      <w:pPr>
        <w:pStyle w:val="Heading1"/>
      </w:pPr>
      <w:bookmarkStart w:id="188" w:name="_Toc481415703"/>
      <w:bookmarkStart w:id="189" w:name="_Toc509303599"/>
      <w:bookmarkStart w:id="190" w:name="_Toc136955727"/>
      <w:r>
        <w:t xml:space="preserve">Appendix 2 </w:t>
      </w:r>
      <w:r w:rsidR="00843F88">
        <w:t xml:space="preserve">– </w:t>
      </w:r>
      <w:r w:rsidR="00843F88">
        <w:rPr>
          <w:rFonts w:eastAsia="Arial"/>
        </w:rPr>
        <w:t>Impact</w:t>
      </w:r>
      <w:r w:rsidR="0CC6C13E">
        <w:rPr>
          <w:rFonts w:eastAsia="Arial"/>
        </w:rPr>
        <w:t xml:space="preserve"> of Career Disruption</w:t>
      </w:r>
      <w:r w:rsidR="0CC6C13E">
        <w:t xml:space="preserve"> </w:t>
      </w:r>
      <w:r w:rsidR="2C4B9A04">
        <w:t>Statement</w:t>
      </w:r>
      <w:r w:rsidR="00302403">
        <w:t xml:space="preserve"> and </w:t>
      </w:r>
      <w:r w:rsidR="003F2195">
        <w:t>R</w:t>
      </w:r>
      <w:r>
        <w:t xml:space="preserve">esearch </w:t>
      </w:r>
      <w:bookmarkEnd w:id="188"/>
      <w:bookmarkEnd w:id="189"/>
      <w:r w:rsidR="003F2195">
        <w:t>Productivity R</w:t>
      </w:r>
      <w:r w:rsidR="00582BA6">
        <w:t xml:space="preserve">elative to </w:t>
      </w:r>
      <w:r w:rsidR="003F2195">
        <w:t>O</w:t>
      </w:r>
      <w:r w:rsidR="00582BA6">
        <w:t>pportunity</w:t>
      </w:r>
      <w:bookmarkEnd w:id="190"/>
    </w:p>
    <w:p w14:paraId="5441F39D" w14:textId="679A4A78" w:rsidR="00003734" w:rsidRPr="00F71763" w:rsidRDefault="00BB29D5" w:rsidP="00F71763">
      <w:pPr>
        <w:pStyle w:val="Heading2"/>
      </w:pPr>
      <w:bookmarkStart w:id="191" w:name="_Toc425161292"/>
      <w:bookmarkStart w:id="192" w:name="_Toc425244021"/>
      <w:bookmarkStart w:id="193" w:name="_Toc425244266"/>
      <w:bookmarkStart w:id="194" w:name="_Toc447718761"/>
      <w:bookmarkStart w:id="195" w:name="_Toc447724652"/>
      <w:bookmarkStart w:id="196" w:name="_Toc481153476"/>
      <w:bookmarkStart w:id="197" w:name="_Toc481415704"/>
      <w:bookmarkStart w:id="198" w:name="_Toc509303600"/>
      <w:bookmarkStart w:id="199" w:name="_Toc136955728"/>
      <w:r>
        <w:t>A2.</w:t>
      </w:r>
      <w:r w:rsidR="00F71763" w:rsidRPr="00F71763">
        <w:t xml:space="preserve">1 </w:t>
      </w:r>
      <w:r w:rsidR="00F71763" w:rsidRPr="00F71763">
        <w:tab/>
      </w:r>
      <w:r w:rsidR="00003734" w:rsidRPr="00F71763">
        <w:t>Context</w:t>
      </w:r>
      <w:bookmarkEnd w:id="191"/>
      <w:bookmarkEnd w:id="192"/>
      <w:bookmarkEnd w:id="193"/>
      <w:bookmarkEnd w:id="194"/>
      <w:bookmarkEnd w:id="195"/>
      <w:bookmarkEnd w:id="196"/>
      <w:bookmarkEnd w:id="197"/>
      <w:bookmarkEnd w:id="198"/>
      <w:bookmarkEnd w:id="199"/>
    </w:p>
    <w:p w14:paraId="012BA33C" w14:textId="6D945B6B" w:rsidR="00003734" w:rsidRPr="00506E66" w:rsidRDefault="2784C5DB" w:rsidP="00F71763">
      <w:pPr>
        <w:pStyle w:val="DHHSbody"/>
        <w:rPr>
          <w:highlight w:val="yellow"/>
        </w:rPr>
      </w:pPr>
      <w:r>
        <w:t>The</w:t>
      </w:r>
      <w:r w:rsidR="00AD3DB3">
        <w:t xml:space="preserve"> </w:t>
      </w:r>
      <w:r w:rsidR="0035791D">
        <w:t>Impact of Career Disruption</w:t>
      </w:r>
      <w:r w:rsidR="00AD3DB3">
        <w:t xml:space="preserve"> Statement and the </w:t>
      </w:r>
      <w:hyperlink r:id="rId35" w:history="1">
        <w:r w:rsidR="00AD3DB3" w:rsidRPr="00AB4FC9">
          <w:rPr>
            <w:rStyle w:val="Hyperlink"/>
          </w:rPr>
          <w:t xml:space="preserve">NHMRC </w:t>
        </w:r>
        <w:r w:rsidR="00FB70B8" w:rsidRPr="00AB4FC9">
          <w:rPr>
            <w:rStyle w:val="Hyperlink"/>
          </w:rPr>
          <w:t>R</w:t>
        </w:r>
        <w:r w:rsidR="00AD3DB3" w:rsidRPr="00AB4FC9">
          <w:rPr>
            <w:rStyle w:val="Hyperlink"/>
          </w:rPr>
          <w:t xml:space="preserve">elative to </w:t>
        </w:r>
        <w:r w:rsidR="00FB70B8" w:rsidRPr="00AB4FC9">
          <w:rPr>
            <w:rStyle w:val="Hyperlink"/>
          </w:rPr>
          <w:t>O</w:t>
        </w:r>
        <w:r w:rsidR="00AD3DB3" w:rsidRPr="00AB4FC9">
          <w:rPr>
            <w:rStyle w:val="Hyperlink"/>
          </w:rPr>
          <w:t xml:space="preserve">pportunity </w:t>
        </w:r>
        <w:r w:rsidR="003F2195" w:rsidRPr="00AB4FC9">
          <w:rPr>
            <w:rStyle w:val="Hyperlink"/>
          </w:rPr>
          <w:t>P</w:t>
        </w:r>
        <w:r w:rsidR="00AD3DB3" w:rsidRPr="00AB4FC9">
          <w:rPr>
            <w:rStyle w:val="Hyperlink"/>
          </w:rPr>
          <w:t>olicy</w:t>
        </w:r>
      </w:hyperlink>
      <w:r w:rsidR="00AB4FC9">
        <w:t xml:space="preserve"> &lt;</w:t>
      </w:r>
      <w:r w:rsidR="00AB4FC9" w:rsidRPr="00AB4FC9">
        <w:t>https://www.nhmrc.gov.au/about-us/policy-and-priorities</w:t>
      </w:r>
      <w:r w:rsidR="00AB4FC9">
        <w:t>&gt;</w:t>
      </w:r>
      <w:r w:rsidR="00AD3DB3">
        <w:t xml:space="preserve"> </w:t>
      </w:r>
      <w:proofErr w:type="gramStart"/>
      <w:r>
        <w:t>takes</w:t>
      </w:r>
      <w:r w:rsidR="00003734" w:rsidRPr="00756183">
        <w:t xml:space="preserve"> into account</w:t>
      </w:r>
      <w:proofErr w:type="gramEnd"/>
      <w:r w:rsidR="00003734" w:rsidRPr="00756183">
        <w:t xml:space="preserve"> the quality rather than simply the volume or size of the </w:t>
      </w:r>
      <w:r w:rsidR="00BC4B07">
        <w:t>A</w:t>
      </w:r>
      <w:r w:rsidR="00885D34">
        <w:t xml:space="preserve">pplicant’s </w:t>
      </w:r>
      <w:r w:rsidR="00003734" w:rsidRPr="00756183">
        <w:t>research contribution.</w:t>
      </w:r>
    </w:p>
    <w:p w14:paraId="0221D612" w14:textId="2527CE23" w:rsidR="00F71763" w:rsidRPr="00F71763" w:rsidRDefault="00BB29D5" w:rsidP="00F71763">
      <w:pPr>
        <w:pStyle w:val="Heading2"/>
      </w:pPr>
      <w:bookmarkStart w:id="200" w:name="_Toc425161293"/>
      <w:bookmarkStart w:id="201" w:name="_Toc425244022"/>
      <w:bookmarkStart w:id="202" w:name="_Toc425244267"/>
      <w:bookmarkStart w:id="203" w:name="_Toc447718762"/>
      <w:bookmarkStart w:id="204" w:name="_Toc447724653"/>
      <w:bookmarkStart w:id="205" w:name="_Toc481153477"/>
      <w:bookmarkStart w:id="206" w:name="_Toc481415705"/>
      <w:bookmarkStart w:id="207" w:name="_Toc509303601"/>
      <w:bookmarkStart w:id="208" w:name="_Toc136955729"/>
      <w:r>
        <w:t>A2.</w:t>
      </w:r>
      <w:r w:rsidR="00F71763">
        <w:t>2</w:t>
      </w:r>
      <w:r w:rsidR="00F71763">
        <w:tab/>
      </w:r>
      <w:r w:rsidR="00003734" w:rsidRPr="00506E66">
        <w:t>Principles</w:t>
      </w:r>
      <w:bookmarkEnd w:id="200"/>
      <w:bookmarkEnd w:id="201"/>
      <w:bookmarkEnd w:id="202"/>
      <w:bookmarkEnd w:id="203"/>
      <w:bookmarkEnd w:id="204"/>
      <w:bookmarkEnd w:id="205"/>
      <w:bookmarkEnd w:id="206"/>
      <w:bookmarkEnd w:id="207"/>
      <w:bookmarkEnd w:id="208"/>
    </w:p>
    <w:p w14:paraId="671E1687" w14:textId="354C9450" w:rsidR="00003734" w:rsidRPr="00756183" w:rsidRDefault="00E03333" w:rsidP="00F71763">
      <w:pPr>
        <w:pStyle w:val="DHHSbody"/>
      </w:pPr>
      <w:r>
        <w:t xml:space="preserve">The </w:t>
      </w:r>
      <w:r w:rsidR="0001B1E0">
        <w:t xml:space="preserve">VCA recognises </w:t>
      </w:r>
      <w:r w:rsidR="00C50218">
        <w:t xml:space="preserve">that </w:t>
      </w:r>
      <w:r w:rsidR="0001B1E0">
        <w:t>r</w:t>
      </w:r>
      <w:r w:rsidR="56E8084F">
        <w:t xml:space="preserve">esearch careers </w:t>
      </w:r>
      <w:r w:rsidR="1CC71254">
        <w:t xml:space="preserve">have </w:t>
      </w:r>
      <w:r w:rsidR="56E8084F">
        <w:t>diverse</w:t>
      </w:r>
      <w:r w:rsidR="3467A179">
        <w:t xml:space="preserve"> </w:t>
      </w:r>
      <w:r w:rsidR="60355A9B">
        <w:t xml:space="preserve">trajectories </w:t>
      </w:r>
      <w:r w:rsidR="3467A179">
        <w:t>and</w:t>
      </w:r>
      <w:r w:rsidR="17F7E90B">
        <w:t xml:space="preserve"> </w:t>
      </w:r>
      <w:r w:rsidR="00D82FFF">
        <w:t xml:space="preserve">acknowledges </w:t>
      </w:r>
      <w:r w:rsidR="006A03C2">
        <w:t xml:space="preserve">the importance </w:t>
      </w:r>
      <w:r>
        <w:t xml:space="preserve">of </w:t>
      </w:r>
      <w:r w:rsidR="00D82FFF">
        <w:t xml:space="preserve">due </w:t>
      </w:r>
      <w:r>
        <w:t>consideration of</w:t>
      </w:r>
      <w:r w:rsidR="266B3915">
        <w:t xml:space="preserve"> circumstances that </w:t>
      </w:r>
      <w:r>
        <w:t xml:space="preserve">may </w:t>
      </w:r>
      <w:r w:rsidR="266B3915">
        <w:t xml:space="preserve">have affected </w:t>
      </w:r>
      <w:r w:rsidR="6999DEFA">
        <w:t xml:space="preserve">eligible </w:t>
      </w:r>
      <w:r w:rsidR="00BC4B07">
        <w:t>A</w:t>
      </w:r>
      <w:r w:rsidR="266B3915">
        <w:t>pplicant</w:t>
      </w:r>
      <w:r w:rsidR="273B4AA5">
        <w:t>s’</w:t>
      </w:r>
      <w:r w:rsidR="266B3915">
        <w:t xml:space="preserve"> research</w:t>
      </w:r>
      <w:r w:rsidR="197BA125">
        <w:t xml:space="preserve"> </w:t>
      </w:r>
      <w:r w:rsidR="266B3915">
        <w:t xml:space="preserve">productivity. </w:t>
      </w:r>
      <w:r w:rsidR="698A7B84">
        <w:t>T</w:t>
      </w:r>
      <w:r w:rsidR="28AB4735">
        <w:t>herefore, i</w:t>
      </w:r>
      <w:r w:rsidR="00003734" w:rsidRPr="00756183">
        <w:t>n line with</w:t>
      </w:r>
      <w:r w:rsidR="004326CF">
        <w:t xml:space="preserve"> the</w:t>
      </w:r>
      <w:r w:rsidR="00003734" w:rsidRPr="00756183">
        <w:t xml:space="preserve"> </w:t>
      </w:r>
      <w:r w:rsidR="00E75756">
        <w:t>NHMRC</w:t>
      </w:r>
      <w:r w:rsidR="00003734" w:rsidRPr="00756183">
        <w:t xml:space="preserve"> </w:t>
      </w:r>
      <w:r w:rsidR="00637980">
        <w:t>Relative to Opportunity Policy</w:t>
      </w:r>
      <w:r w:rsidR="00003734">
        <w:t xml:space="preserve">, </w:t>
      </w:r>
      <w:r w:rsidR="3DA80098">
        <w:t>eligible</w:t>
      </w:r>
      <w:r w:rsidR="00003734" w:rsidRPr="00756183">
        <w:t xml:space="preserve"> </w:t>
      </w:r>
      <w:r w:rsidR="379432F0">
        <w:t xml:space="preserve">candidates </w:t>
      </w:r>
      <w:r w:rsidR="6DEA9EE1">
        <w:t>submitting</w:t>
      </w:r>
      <w:r w:rsidR="00003734" w:rsidRPr="00756183">
        <w:t xml:space="preserve"> under the various VCA funding schemes will be </w:t>
      </w:r>
      <w:r w:rsidR="00265A5F">
        <w:t>considered</w:t>
      </w:r>
      <w:r w:rsidR="00265A5F" w:rsidRPr="00756183">
        <w:t xml:space="preserve"> </w:t>
      </w:r>
      <w:r w:rsidR="00003734" w:rsidRPr="00756183">
        <w:t xml:space="preserve">on the basis of their </w:t>
      </w:r>
      <w:r w:rsidR="005E0241">
        <w:t xml:space="preserve">research </w:t>
      </w:r>
      <w:r w:rsidR="00E65FD7">
        <w:t>productivity relative</w:t>
      </w:r>
      <w:r w:rsidR="005E0241">
        <w:t xml:space="preserve"> to opportunity</w:t>
      </w:r>
      <w:r w:rsidR="00003734" w:rsidRPr="00756183">
        <w:t xml:space="preserve"> and o</w:t>
      </w:r>
      <w:r w:rsidR="00003734">
        <w:t>ther scheme dependent criteria.</w:t>
      </w:r>
    </w:p>
    <w:p w14:paraId="412AA419" w14:textId="093682A5" w:rsidR="222B511A" w:rsidRDefault="222B511A" w:rsidP="6D4D3E8E">
      <w:pPr>
        <w:pStyle w:val="DHHSbody"/>
      </w:pPr>
      <w:r>
        <w:t xml:space="preserve">The </w:t>
      </w:r>
      <w:r w:rsidR="00637980">
        <w:t xml:space="preserve">NHMRC </w:t>
      </w:r>
      <w:r w:rsidR="00265865">
        <w:t>Relative to Opportunity Policy</w:t>
      </w:r>
      <w:r>
        <w:t xml:space="preserve"> considers working arrangements, career histories and personal circumstances and provides an acknowledgement of research performance given the opportunities available.</w:t>
      </w:r>
    </w:p>
    <w:p w14:paraId="50129502" w14:textId="6E0A87DE" w:rsidR="009138E9" w:rsidRDefault="00003734">
      <w:pPr>
        <w:pStyle w:val="DHHSbody"/>
      </w:pPr>
      <w:r w:rsidRPr="00756183">
        <w:t xml:space="preserve">Research </w:t>
      </w:r>
      <w:r w:rsidR="00280B8E">
        <w:t>o</w:t>
      </w:r>
      <w:r w:rsidR="00280B8E" w:rsidRPr="00756183">
        <w:t xml:space="preserve">pportunity </w:t>
      </w:r>
      <w:r w:rsidRPr="00756183">
        <w:t>is designed to provide assessors with an accurate appreciation of career history against a timeline of years since graduation from highest educational qualification</w:t>
      </w:r>
      <w:r w:rsidR="4B0EF198">
        <w:t xml:space="preserve">, </w:t>
      </w:r>
      <w:r w:rsidR="09EED0DC">
        <w:t>e</w:t>
      </w:r>
      <w:r w:rsidR="2891E77E">
        <w:t xml:space="preserve">nsuring the assessment processes accurately evaluate an </w:t>
      </w:r>
      <w:r w:rsidR="00BC4B07">
        <w:t>A</w:t>
      </w:r>
      <w:r w:rsidR="2891E77E">
        <w:t>pplicant’s career history relative to their current career stage</w:t>
      </w:r>
      <w:r w:rsidR="06C73C5D">
        <w:t xml:space="preserve">. It also </w:t>
      </w:r>
      <w:r w:rsidR="2891E77E">
        <w:t xml:space="preserve">considers whether their productivity and contribution are commensurate with the opportunities that have been available to them. </w:t>
      </w:r>
      <w:r w:rsidR="200C983D">
        <w:t>It p</w:t>
      </w:r>
      <w:r w:rsidR="5096E73B">
        <w:t>rovid</w:t>
      </w:r>
      <w:r w:rsidR="52678D57">
        <w:t xml:space="preserve">es </w:t>
      </w:r>
      <w:r w:rsidR="5096E73B">
        <w:t xml:space="preserve">more realistic consideration of a researcher’s capabilities, assisting those who have had career interruptions for family and other reasons. </w:t>
      </w:r>
      <w:r w:rsidR="7E39F065">
        <w:t xml:space="preserve">In addition, </w:t>
      </w:r>
      <w:r w:rsidR="6A680CD8">
        <w:t>a</w:t>
      </w:r>
      <w:r>
        <w:t>ssessors</w:t>
      </w:r>
      <w:r w:rsidRPr="00756183">
        <w:t xml:space="preserve"> will recognise research opportunities and experience in the context of employment situations</w:t>
      </w:r>
      <w:r w:rsidR="772E37B7">
        <w:t>,</w:t>
      </w:r>
      <w:r w:rsidRPr="00756183">
        <w:t xml:space="preserve"> including those </w:t>
      </w:r>
      <w:r w:rsidR="0C16FC9B">
        <w:t xml:space="preserve">external </w:t>
      </w:r>
      <w:r w:rsidR="00222784">
        <w:t xml:space="preserve">to </w:t>
      </w:r>
      <w:r w:rsidR="00222784" w:rsidRPr="00756183">
        <w:t>academia</w:t>
      </w:r>
      <w:r w:rsidRPr="00756183">
        <w:t xml:space="preserve"> </w:t>
      </w:r>
      <w:r>
        <w:t>a</w:t>
      </w:r>
      <w:r w:rsidR="5B6AD3CD">
        <w:t xml:space="preserve">s well as </w:t>
      </w:r>
      <w:r w:rsidRPr="00756183">
        <w:t xml:space="preserve">the research component of employment conditions. </w:t>
      </w:r>
    </w:p>
    <w:p w14:paraId="69BBC6FD" w14:textId="1B881ECE" w:rsidR="009138E9" w:rsidRPr="009138E9" w:rsidRDefault="009138E9" w:rsidP="009138E9">
      <w:pPr>
        <w:pStyle w:val="DHHSbody"/>
      </w:pPr>
      <w:r w:rsidRPr="004B68FC">
        <w:t>Applicants are able to provide information to assessors that will allow them to contextualise research outputs relative to the opportunity. Both research output assessment and contextualising within disciplinary expectations of research impact are required. In addition to standard academic publications, research outputs can include grey literature, consultancy reports or reviews, patents and policy advice, competitive grants and other research support, higher degree student completions, major exhibitions, invited keynote and speaker addresses and other professional activities and contributions to the research field.</w:t>
      </w:r>
    </w:p>
    <w:p w14:paraId="1112DC1C" w14:textId="1FE48306" w:rsidR="0052211F" w:rsidRDefault="0052211F" w:rsidP="0052211F">
      <w:pPr>
        <w:pStyle w:val="DHHSbody"/>
      </w:pPr>
      <w:r>
        <w:t>In line with the NHMRC Relative to Opportunity Policy</w:t>
      </w:r>
      <w:r w:rsidR="00D27740">
        <w:t>,</w:t>
      </w:r>
      <w:r>
        <w:t xml:space="preserve"> the VCA will consider a career disruption, career break or other life circumstances that interrupt progression of research productivity as part of the Impact of Career Disruption Statement. </w:t>
      </w:r>
    </w:p>
    <w:p w14:paraId="1B92EB6D" w14:textId="51217FAA" w:rsidR="0052211F" w:rsidRPr="00E946FE" w:rsidRDefault="0052211F" w:rsidP="0052211F">
      <w:pPr>
        <w:pStyle w:val="DHHSbody"/>
      </w:pPr>
      <w:r w:rsidRPr="0052211F">
        <w:rPr>
          <w:iCs/>
        </w:rPr>
        <w:t>The NHM</w:t>
      </w:r>
      <w:r>
        <w:rPr>
          <w:iCs/>
        </w:rPr>
        <w:t>R</w:t>
      </w:r>
      <w:r w:rsidRPr="0052211F">
        <w:rPr>
          <w:iCs/>
        </w:rPr>
        <w:t>C defines</w:t>
      </w:r>
      <w:r w:rsidRPr="0052211F">
        <w:rPr>
          <w:i/>
        </w:rPr>
        <w:t xml:space="preserve"> </w:t>
      </w:r>
      <w:r w:rsidRPr="0022220C">
        <w:rPr>
          <w:i/>
          <w:u w:val="single"/>
        </w:rPr>
        <w:t>Career Disruption</w:t>
      </w:r>
      <w:r w:rsidRPr="00622617">
        <w:t xml:space="preserve"> </w:t>
      </w:r>
      <w:r w:rsidRPr="00E946FE">
        <w:t xml:space="preserve">as a prolonged interruption to an </w:t>
      </w:r>
      <w:r w:rsidR="000C10C2">
        <w:t>A</w:t>
      </w:r>
      <w:r w:rsidR="44D24D2C" w:rsidRPr="00E946FE">
        <w:t>pplicant's</w:t>
      </w:r>
      <w:r w:rsidRPr="00E946FE">
        <w:t xml:space="preserve"> capacity to work due to:</w:t>
      </w:r>
    </w:p>
    <w:p w14:paraId="6E5E727C" w14:textId="0DECC11F" w:rsidR="0052211F" w:rsidRPr="00E946FE" w:rsidRDefault="00057A40" w:rsidP="0052211F">
      <w:pPr>
        <w:pStyle w:val="DHHSbody"/>
        <w:numPr>
          <w:ilvl w:val="0"/>
          <w:numId w:val="41"/>
        </w:numPr>
        <w:rPr>
          <w:rFonts w:eastAsia="Arial" w:cs="Arial"/>
        </w:rPr>
      </w:pPr>
      <w:r>
        <w:t>P</w:t>
      </w:r>
      <w:r w:rsidR="0052211F" w:rsidRPr="00E946FE">
        <w:t>regnancy</w:t>
      </w:r>
    </w:p>
    <w:p w14:paraId="385B0099" w14:textId="319C5A2D" w:rsidR="0052211F" w:rsidRPr="00E946FE" w:rsidRDefault="00057A40" w:rsidP="0052211F">
      <w:pPr>
        <w:pStyle w:val="DHHSbody"/>
        <w:numPr>
          <w:ilvl w:val="0"/>
          <w:numId w:val="41"/>
        </w:numPr>
        <w:rPr>
          <w:rFonts w:eastAsia="Arial" w:cs="Arial"/>
        </w:rPr>
      </w:pPr>
      <w:r>
        <w:t>M</w:t>
      </w:r>
      <w:r w:rsidR="0052211F" w:rsidRPr="00E946FE">
        <w:t>ajor illness/injury</w:t>
      </w:r>
    </w:p>
    <w:p w14:paraId="1632C9AC" w14:textId="5DE653EC" w:rsidR="0052211F" w:rsidRPr="00E946FE" w:rsidRDefault="00057A40" w:rsidP="0052211F">
      <w:pPr>
        <w:pStyle w:val="DHHSbody"/>
        <w:numPr>
          <w:ilvl w:val="0"/>
          <w:numId w:val="41"/>
        </w:numPr>
        <w:rPr>
          <w:rFonts w:eastAsia="Arial" w:cs="Arial"/>
        </w:rPr>
      </w:pPr>
      <w:r>
        <w:t>C</w:t>
      </w:r>
      <w:r w:rsidR="0052211F" w:rsidRPr="00E946FE">
        <w:t>arer responsibilities.</w:t>
      </w:r>
    </w:p>
    <w:p w14:paraId="356F8807" w14:textId="77777777" w:rsidR="0052211F" w:rsidRPr="00E946FE" w:rsidRDefault="0052211F" w:rsidP="0052211F">
      <w:pPr>
        <w:pStyle w:val="DHHSbody"/>
      </w:pPr>
      <w:r w:rsidRPr="00E946FE">
        <w:lastRenderedPageBreak/>
        <w:t>A period of Career Disruption is defined as:</w:t>
      </w:r>
    </w:p>
    <w:p w14:paraId="12C24565" w14:textId="4D6B3633" w:rsidR="0052211F" w:rsidRPr="00E946FE" w:rsidRDefault="004A354C" w:rsidP="0052211F">
      <w:pPr>
        <w:pStyle w:val="DHHSbody"/>
        <w:numPr>
          <w:ilvl w:val="0"/>
          <w:numId w:val="40"/>
        </w:numPr>
        <w:rPr>
          <w:rFonts w:eastAsia="Arial" w:cs="Arial"/>
        </w:rPr>
      </w:pPr>
      <w:r>
        <w:t>A</w:t>
      </w:r>
      <w:r w:rsidR="0052211F" w:rsidRPr="00E946FE">
        <w:t xml:space="preserve"> continuous absence from work for 90 calendar days or more, and/or</w:t>
      </w:r>
    </w:p>
    <w:p w14:paraId="41ECE6CB" w14:textId="49266869" w:rsidR="0052211F" w:rsidRPr="00E946FE" w:rsidRDefault="004A354C" w:rsidP="0052211F">
      <w:pPr>
        <w:pStyle w:val="DHHSbody"/>
        <w:numPr>
          <w:ilvl w:val="0"/>
          <w:numId w:val="40"/>
        </w:numPr>
        <w:rPr>
          <w:rFonts w:eastAsia="Arial" w:cs="Arial"/>
        </w:rPr>
      </w:pPr>
      <w:r>
        <w:t>C</w:t>
      </w:r>
      <w:r w:rsidR="0052211F" w:rsidRPr="00E946FE">
        <w:t>ontinuous, long-term, part-time employment (with defined %</w:t>
      </w:r>
      <w:r w:rsidR="0052211F">
        <w:t xml:space="preserve"> </w:t>
      </w:r>
      <w:r w:rsidR="0052211F" w:rsidRPr="00E946FE">
        <w:t>FTE) due to circumstances</w:t>
      </w:r>
    </w:p>
    <w:p w14:paraId="385ECEF1" w14:textId="60590788" w:rsidR="0052211F" w:rsidRPr="00E946FE" w:rsidRDefault="004A354C" w:rsidP="0052211F">
      <w:pPr>
        <w:pStyle w:val="DHHSbody"/>
        <w:numPr>
          <w:ilvl w:val="0"/>
          <w:numId w:val="40"/>
        </w:numPr>
        <w:rPr>
          <w:rFonts w:eastAsia="Arial" w:cs="Arial"/>
        </w:rPr>
      </w:pPr>
      <w:r>
        <w:t>C</w:t>
      </w:r>
      <w:r w:rsidR="0052211F" w:rsidRPr="00E946FE">
        <w:t>lassified as Career Disruption, with the absence amounting to a total of 90 calendar days or</w:t>
      </w:r>
    </w:p>
    <w:p w14:paraId="2835BB2F" w14:textId="77777777" w:rsidR="0052211F" w:rsidRDefault="0052211F" w:rsidP="0052211F">
      <w:pPr>
        <w:pStyle w:val="DHHSbody"/>
        <w:ind w:left="720"/>
      </w:pPr>
      <w:r>
        <w:t>m</w:t>
      </w:r>
      <w:r w:rsidRPr="00E946FE">
        <w:t>ore</w:t>
      </w:r>
      <w:r>
        <w:t>.</w:t>
      </w:r>
    </w:p>
    <w:p w14:paraId="3C7B3848" w14:textId="77777777" w:rsidR="0052211F" w:rsidRPr="00756183" w:rsidRDefault="0052211F" w:rsidP="0052211F">
      <w:pPr>
        <w:pStyle w:val="DHHSbody"/>
      </w:pPr>
      <w:r w:rsidRPr="75C76B12">
        <w:rPr>
          <w:rFonts w:eastAsia="Arial" w:cs="Arial"/>
        </w:rPr>
        <w:t>Relative</w:t>
      </w:r>
      <w:r w:rsidRPr="00C020BD">
        <w:rPr>
          <w:rFonts w:eastAsia="Arial" w:cs="Arial"/>
        </w:rPr>
        <w:t xml:space="preserve"> to Opportunity considerations</w:t>
      </w:r>
      <w:r w:rsidRPr="00EA44AB">
        <w:t xml:space="preserve"> </w:t>
      </w:r>
      <w:r w:rsidRPr="6D4D3E8E">
        <w:t>do not include:</w:t>
      </w:r>
    </w:p>
    <w:p w14:paraId="5E2B0762" w14:textId="031AF597" w:rsidR="0052211F" w:rsidRPr="00756183" w:rsidRDefault="004A354C" w:rsidP="0052211F">
      <w:pPr>
        <w:pStyle w:val="DHHSbody"/>
        <w:numPr>
          <w:ilvl w:val="0"/>
          <w:numId w:val="38"/>
        </w:numPr>
        <w:rPr>
          <w:rFonts w:eastAsia="Arial" w:cs="Arial"/>
        </w:rPr>
      </w:pPr>
      <w:r>
        <w:t>M</w:t>
      </w:r>
      <w:r w:rsidR="0052211F" w:rsidRPr="6D4D3E8E">
        <w:t xml:space="preserve">inor (or short-term) changes that occur during the normal course of conducting research, </w:t>
      </w:r>
      <w:proofErr w:type="gramStart"/>
      <w:r w:rsidR="0052211F" w:rsidRPr="6D4D3E8E">
        <w:t>e.g.</w:t>
      </w:r>
      <w:proofErr w:type="gramEnd"/>
      <w:r w:rsidR="0052211F" w:rsidRPr="6D4D3E8E">
        <w:t xml:space="preserve"> broken equipment or delayed ethics approval</w:t>
      </w:r>
    </w:p>
    <w:p w14:paraId="33C723A7" w14:textId="57782F4B" w:rsidR="0052211F" w:rsidRPr="00756183" w:rsidRDefault="004A354C" w:rsidP="0052211F">
      <w:pPr>
        <w:pStyle w:val="DHHSbody"/>
        <w:numPr>
          <w:ilvl w:val="0"/>
          <w:numId w:val="38"/>
        </w:numPr>
        <w:rPr>
          <w:rFonts w:eastAsia="Arial" w:cs="Arial"/>
        </w:rPr>
      </w:pPr>
      <w:r>
        <w:t>M</w:t>
      </w:r>
      <w:r w:rsidR="0052211F" w:rsidRPr="6D4D3E8E">
        <w:t>inor (or short-term) medical conditions</w:t>
      </w:r>
    </w:p>
    <w:p w14:paraId="79AF8A77" w14:textId="016F66F8" w:rsidR="0052211F" w:rsidRDefault="004A354C" w:rsidP="0052211F">
      <w:pPr>
        <w:pStyle w:val="DHHSbody"/>
        <w:numPr>
          <w:ilvl w:val="0"/>
          <w:numId w:val="38"/>
        </w:numPr>
      </w:pPr>
      <w:r>
        <w:t>R</w:t>
      </w:r>
      <w:r w:rsidR="0052211F" w:rsidRPr="6D4D3E8E">
        <w:t>ecreational leave or general administrative activities related to research, such as preparation of grant applications and publications or committee-related activities.</w:t>
      </w:r>
    </w:p>
    <w:p w14:paraId="5E5FFE66" w14:textId="5B412FF4" w:rsidR="0052211F" w:rsidRDefault="0052211F" w:rsidP="0052211F">
      <w:pPr>
        <w:pStyle w:val="DHHSbody"/>
      </w:pPr>
      <w:r>
        <w:t>The Impact of Career Disruption Statement provides an opportunity for Applicants to detail career disruptions/</w:t>
      </w:r>
      <w:r w:rsidR="00BE2B64">
        <w:t>break</w:t>
      </w:r>
      <w:r w:rsidR="007B7C47">
        <w:t>s</w:t>
      </w:r>
      <w:r>
        <w:t xml:space="preserve"> relative to career stage. In addition to the NHMRC Relative to Opportunity policy, the VCA also considers a </w:t>
      </w:r>
      <w:r>
        <w:rPr>
          <w:i/>
          <w:iCs/>
          <w:u w:val="single"/>
        </w:rPr>
        <w:t>C</w:t>
      </w:r>
      <w:r w:rsidRPr="0052211F">
        <w:rPr>
          <w:i/>
          <w:iCs/>
          <w:u w:val="single"/>
        </w:rPr>
        <w:t xml:space="preserve">areer </w:t>
      </w:r>
      <w:r>
        <w:rPr>
          <w:i/>
          <w:iCs/>
          <w:u w:val="single"/>
        </w:rPr>
        <w:t>B</w:t>
      </w:r>
      <w:r w:rsidRPr="0052211F">
        <w:rPr>
          <w:i/>
          <w:iCs/>
          <w:u w:val="single"/>
        </w:rPr>
        <w:t>reak</w:t>
      </w:r>
      <w:r w:rsidRPr="0052211F">
        <w:rPr>
          <w:i/>
          <w:iCs/>
        </w:rPr>
        <w:t xml:space="preserve"> </w:t>
      </w:r>
      <w:r>
        <w:t xml:space="preserve">as a period of time taken from your research career to pursue other professional activities in industry or clinical work, travel, or study. Examples of these may be included in the Impact of Career Disruption Statement. As part of the Evaluation Panel’s deliberation of applications, the VCA will highlight to the </w:t>
      </w:r>
      <w:r w:rsidR="00D763AF">
        <w:t>Scientific</w:t>
      </w:r>
      <w:r>
        <w:t xml:space="preserve"> Evaluation Panel where there has been a career disruption for an </w:t>
      </w:r>
      <w:r w:rsidR="007B7C47">
        <w:t>A</w:t>
      </w:r>
      <w:r>
        <w:t xml:space="preserve">pplicant. The Impact of Career Disruption Statement </w:t>
      </w:r>
      <w:r w:rsidRPr="6D4D3E8E">
        <w:t xml:space="preserve">aims to </w:t>
      </w:r>
      <w:proofErr w:type="gramStart"/>
      <w:r w:rsidRPr="6D4D3E8E">
        <w:t>take into account</w:t>
      </w:r>
      <w:proofErr w:type="gramEnd"/>
      <w:r w:rsidRPr="6D4D3E8E">
        <w:t xml:space="preserve"> </w:t>
      </w:r>
      <w:r>
        <w:t>relevant</w:t>
      </w:r>
      <w:r w:rsidRPr="6D4D3E8E">
        <w:t xml:space="preserve"> research opportunity considerations over the </w:t>
      </w:r>
      <w:r>
        <w:t>progression</w:t>
      </w:r>
      <w:r w:rsidRPr="6D4D3E8E">
        <w:t xml:space="preserve"> of a research career and are not intended to address minor changes to life circumstances.</w:t>
      </w:r>
    </w:p>
    <w:p w14:paraId="23AF82F9" w14:textId="3CC6FE2B" w:rsidR="0052211F" w:rsidRPr="00756183" w:rsidRDefault="0052211F" w:rsidP="0052211F">
      <w:pPr>
        <w:pStyle w:val="DHHSbody"/>
      </w:pPr>
      <w:r w:rsidRPr="6D4D3E8E">
        <w:t xml:space="preserve">Please note </w:t>
      </w:r>
      <w:r>
        <w:t xml:space="preserve">the </w:t>
      </w:r>
      <w:r w:rsidRPr="6D4D3E8E">
        <w:t xml:space="preserve">VCA may ask </w:t>
      </w:r>
      <w:r w:rsidR="00BC4B07">
        <w:t>A</w:t>
      </w:r>
      <w:r w:rsidRPr="6D4D3E8E">
        <w:t xml:space="preserve">pplicants to provide evidence to support their </w:t>
      </w:r>
      <w:r>
        <w:t>c</w:t>
      </w:r>
      <w:r w:rsidRPr="6D4D3E8E">
        <w:t xml:space="preserve">areer </w:t>
      </w:r>
      <w:r>
        <w:t>d</w:t>
      </w:r>
      <w:r w:rsidRPr="6D4D3E8E">
        <w:t>isruption</w:t>
      </w:r>
      <w:r>
        <w:t>/break</w:t>
      </w:r>
      <w:r w:rsidRPr="6D4D3E8E">
        <w:t xml:space="preserve"> claim.</w:t>
      </w:r>
    </w:p>
    <w:p w14:paraId="5BBADD36" w14:textId="601BB2B7" w:rsidR="00003734" w:rsidRPr="00756183" w:rsidRDefault="00003734" w:rsidP="00F71763">
      <w:pPr>
        <w:pStyle w:val="DHHSbody"/>
      </w:pPr>
    </w:p>
    <w:p w14:paraId="7E8A5E43" w14:textId="4DBC2042" w:rsidR="00003734" w:rsidRPr="00506E66" w:rsidRDefault="00943B08" w:rsidP="00F71763">
      <w:pPr>
        <w:pStyle w:val="Heading2"/>
      </w:pPr>
      <w:bookmarkStart w:id="209" w:name="_Toc508180437"/>
      <w:bookmarkStart w:id="210" w:name="_Toc508180510"/>
      <w:bookmarkStart w:id="211" w:name="_Toc508180438"/>
      <w:bookmarkStart w:id="212" w:name="_Toc508180511"/>
      <w:bookmarkStart w:id="213" w:name="_Toc508180439"/>
      <w:bookmarkStart w:id="214" w:name="_Toc508180512"/>
      <w:bookmarkStart w:id="215" w:name="_Toc508180440"/>
      <w:bookmarkStart w:id="216" w:name="_Toc508180513"/>
      <w:bookmarkStart w:id="217" w:name="_Toc508180441"/>
      <w:bookmarkStart w:id="218" w:name="_Toc508180514"/>
      <w:bookmarkStart w:id="219" w:name="_Toc508180442"/>
      <w:bookmarkStart w:id="220" w:name="_Toc508180515"/>
      <w:bookmarkStart w:id="221" w:name="_Toc508180443"/>
      <w:bookmarkStart w:id="222" w:name="_Toc508180516"/>
      <w:bookmarkStart w:id="223" w:name="_Toc508180444"/>
      <w:bookmarkStart w:id="224" w:name="_Toc508180517"/>
      <w:bookmarkStart w:id="225" w:name="_Toc425161294"/>
      <w:bookmarkStart w:id="226" w:name="_Toc425244023"/>
      <w:bookmarkStart w:id="227" w:name="_Toc425244268"/>
      <w:bookmarkStart w:id="228" w:name="_Toc447718763"/>
      <w:bookmarkStart w:id="229" w:name="_Toc447724654"/>
      <w:bookmarkStart w:id="230" w:name="_Toc481153478"/>
      <w:bookmarkStart w:id="231" w:name="_Toc481415706"/>
      <w:bookmarkStart w:id="232" w:name="_Toc509303602"/>
      <w:bookmarkStart w:id="233" w:name="_Toc13695573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t>A2.</w:t>
      </w:r>
      <w:r w:rsidR="00F71763">
        <w:t>3</w:t>
      </w:r>
      <w:r w:rsidR="00F71763">
        <w:tab/>
      </w:r>
      <w:bookmarkEnd w:id="225"/>
      <w:bookmarkEnd w:id="226"/>
      <w:bookmarkEnd w:id="227"/>
      <w:bookmarkEnd w:id="228"/>
      <w:bookmarkEnd w:id="229"/>
      <w:bookmarkEnd w:id="230"/>
      <w:bookmarkEnd w:id="231"/>
      <w:bookmarkEnd w:id="232"/>
      <w:r w:rsidR="0026313E">
        <w:t xml:space="preserve">Guidance </w:t>
      </w:r>
      <w:r w:rsidR="00176590">
        <w:t xml:space="preserve">for documenting impact </w:t>
      </w:r>
      <w:r w:rsidR="000E6D09">
        <w:t>of</w:t>
      </w:r>
      <w:r w:rsidR="00176590">
        <w:t xml:space="preserve"> career </w:t>
      </w:r>
      <w:r w:rsidR="000E6D09">
        <w:t>disruption and research output</w:t>
      </w:r>
      <w:bookmarkEnd w:id="233"/>
    </w:p>
    <w:p w14:paraId="1D4F34AA" w14:textId="10D46C8D" w:rsidR="00003734" w:rsidRPr="00756183" w:rsidRDefault="00003734" w:rsidP="00F71763">
      <w:pPr>
        <w:pStyle w:val="DHHSbody"/>
      </w:pPr>
      <w:r w:rsidRPr="00756183">
        <w:t xml:space="preserve">The </w:t>
      </w:r>
      <w:r w:rsidR="00735F25">
        <w:t>level of detail provided</w:t>
      </w:r>
      <w:r w:rsidRPr="00756183">
        <w:t xml:space="preserve"> may vary between funding schemes, reflecting the differing career </w:t>
      </w:r>
      <w:r>
        <w:t xml:space="preserve">stage of researchers applying. </w:t>
      </w:r>
    </w:p>
    <w:p w14:paraId="02A42F35" w14:textId="71F20E71" w:rsidR="00003734" w:rsidRPr="00756183" w:rsidRDefault="00003734" w:rsidP="00F71763">
      <w:pPr>
        <w:pStyle w:val="DHHSbody"/>
      </w:pPr>
      <w:r w:rsidRPr="00756183">
        <w:t xml:space="preserve">There is an expectation that each </w:t>
      </w:r>
      <w:r w:rsidR="00BC4B07">
        <w:t>A</w:t>
      </w:r>
      <w:r w:rsidR="00735F25">
        <w:t xml:space="preserve">pplicant </w:t>
      </w:r>
      <w:r w:rsidRPr="00756183">
        <w:t xml:space="preserve">will contextualise their career opportunities and achievements within discipline expectations. </w:t>
      </w:r>
    </w:p>
    <w:p w14:paraId="6FB3C8BC" w14:textId="5707DC9F" w:rsidR="00003734" w:rsidRPr="00506E66" w:rsidRDefault="00532474" w:rsidP="00F71763">
      <w:pPr>
        <w:pStyle w:val="Heading3"/>
      </w:pPr>
      <w:bookmarkStart w:id="234" w:name="_Toc425161295"/>
      <w:bookmarkStart w:id="235" w:name="_Toc425244024"/>
      <w:bookmarkStart w:id="236" w:name="_Toc425244269"/>
      <w:bookmarkStart w:id="237" w:name="_Toc447718764"/>
      <w:bookmarkStart w:id="238" w:name="_Toc447724655"/>
      <w:bookmarkStart w:id="239" w:name="_Toc481153479"/>
      <w:bookmarkStart w:id="240" w:name="_Toc481415707"/>
      <w:r>
        <w:t>2.</w:t>
      </w:r>
      <w:r w:rsidR="00003734" w:rsidRPr="00506E66">
        <w:t>3.1</w:t>
      </w:r>
      <w:r w:rsidR="00003734" w:rsidRPr="00506E66">
        <w:tab/>
        <w:t>Overview</w:t>
      </w:r>
      <w:bookmarkEnd w:id="234"/>
      <w:bookmarkEnd w:id="235"/>
      <w:bookmarkEnd w:id="236"/>
      <w:bookmarkEnd w:id="237"/>
      <w:bookmarkEnd w:id="238"/>
      <w:bookmarkEnd w:id="239"/>
      <w:bookmarkEnd w:id="240"/>
    </w:p>
    <w:p w14:paraId="5F28D540" w14:textId="6D8A72A0" w:rsidR="00003734" w:rsidRPr="00756183" w:rsidRDefault="00003734" w:rsidP="00F71763">
      <w:pPr>
        <w:pStyle w:val="DHHSbody"/>
        <w:rPr>
          <w:rFonts w:cs="Arial"/>
        </w:rPr>
      </w:pPr>
      <w:r w:rsidRPr="00756183">
        <w:rPr>
          <w:rFonts w:cs="Arial"/>
        </w:rPr>
        <w:t xml:space="preserve">In all schemes, some or all of the following components are </w:t>
      </w:r>
      <w:r w:rsidR="00B458DC">
        <w:rPr>
          <w:rFonts w:cs="Arial"/>
        </w:rPr>
        <w:t>considered</w:t>
      </w:r>
      <w:r w:rsidRPr="00756183">
        <w:rPr>
          <w:rFonts w:cs="Arial"/>
        </w:rPr>
        <w:t>:</w:t>
      </w:r>
    </w:p>
    <w:p w14:paraId="0F788095" w14:textId="216C702E" w:rsidR="00003734" w:rsidRPr="008C7033" w:rsidRDefault="004A354C" w:rsidP="007659B5">
      <w:pPr>
        <w:pStyle w:val="DHHSbullet1"/>
      </w:pPr>
      <w:r>
        <w:t>D</w:t>
      </w:r>
      <w:r w:rsidR="00003734" w:rsidRPr="00756183">
        <w:t>etails on career and opportunities for research and other relevant experience</w:t>
      </w:r>
    </w:p>
    <w:p w14:paraId="44F5E323" w14:textId="6EEF32AC" w:rsidR="00003734" w:rsidRPr="00756183" w:rsidRDefault="004A354C" w:rsidP="007659B5">
      <w:pPr>
        <w:pStyle w:val="DHHSbullet1"/>
      </w:pPr>
      <w:r>
        <w:t>R</w:t>
      </w:r>
      <w:r w:rsidR="00003734" w:rsidRPr="00756183">
        <w:t>ecent significant research outputs</w:t>
      </w:r>
    </w:p>
    <w:p w14:paraId="281792DA" w14:textId="38FD65D3" w:rsidR="00003734" w:rsidRPr="00756183" w:rsidRDefault="004A354C" w:rsidP="007659B5">
      <w:pPr>
        <w:pStyle w:val="DHHSbullet1"/>
      </w:pPr>
      <w:r>
        <w:t>F</w:t>
      </w:r>
      <w:r w:rsidR="00003734">
        <w:t>ive</w:t>
      </w:r>
      <w:r w:rsidR="00003734" w:rsidRPr="00756183">
        <w:t xml:space="preserve"> career-best research outputs</w:t>
      </w:r>
    </w:p>
    <w:p w14:paraId="2B698692" w14:textId="2878AEAA" w:rsidR="00003734" w:rsidRPr="00756183" w:rsidRDefault="004A354C" w:rsidP="007659B5">
      <w:pPr>
        <w:pStyle w:val="DHHSbullet1"/>
      </w:pPr>
      <w:r>
        <w:t>F</w:t>
      </w:r>
      <w:r w:rsidR="00003734" w:rsidRPr="00756183">
        <w:t>urther evidence in relation to research impact and contributions to the field</w:t>
      </w:r>
    </w:p>
    <w:p w14:paraId="0A5C4C8F" w14:textId="5570F41A" w:rsidR="00003734" w:rsidRPr="00756183" w:rsidRDefault="004A354C" w:rsidP="007659B5">
      <w:pPr>
        <w:pStyle w:val="DHHSbullet1"/>
      </w:pPr>
      <w:r>
        <w:t>M</w:t>
      </w:r>
      <w:r w:rsidR="00003734" w:rsidRPr="00756183">
        <w:t xml:space="preserve">ost significant contributions to the research field of the </w:t>
      </w:r>
      <w:r w:rsidR="00D27668">
        <w:t>p</w:t>
      </w:r>
      <w:r w:rsidR="00003734" w:rsidRPr="00756183">
        <w:t>roposal.</w:t>
      </w:r>
    </w:p>
    <w:p w14:paraId="11F1C24C" w14:textId="3137E98C" w:rsidR="00003734" w:rsidRPr="00506E66" w:rsidRDefault="00532474" w:rsidP="00F71763">
      <w:pPr>
        <w:pStyle w:val="Heading3"/>
      </w:pPr>
      <w:bookmarkStart w:id="241" w:name="_Toc425161296"/>
      <w:bookmarkStart w:id="242" w:name="_Toc425244025"/>
      <w:bookmarkStart w:id="243" w:name="_Toc425244270"/>
      <w:bookmarkStart w:id="244" w:name="_Toc447718765"/>
      <w:bookmarkStart w:id="245" w:name="_Toc447724656"/>
      <w:bookmarkStart w:id="246" w:name="_Toc481153480"/>
      <w:bookmarkStart w:id="247" w:name="_Toc481415708"/>
      <w:r>
        <w:t>2.</w:t>
      </w:r>
      <w:r w:rsidR="00003734" w:rsidRPr="00506E66">
        <w:t>3.2</w:t>
      </w:r>
      <w:r w:rsidR="00003734" w:rsidRPr="00506E66">
        <w:tab/>
        <w:t>Research opportunity</w:t>
      </w:r>
      <w:bookmarkEnd w:id="241"/>
      <w:bookmarkEnd w:id="242"/>
      <w:bookmarkEnd w:id="243"/>
      <w:bookmarkEnd w:id="244"/>
      <w:bookmarkEnd w:id="245"/>
      <w:bookmarkEnd w:id="246"/>
      <w:bookmarkEnd w:id="247"/>
    </w:p>
    <w:p w14:paraId="02B7A7DE" w14:textId="77777777" w:rsidR="00003734" w:rsidRPr="00756183" w:rsidRDefault="00003734" w:rsidP="00F71763">
      <w:pPr>
        <w:pStyle w:val="DHHSbody"/>
        <w:rPr>
          <w:rFonts w:cs="Arial"/>
        </w:rPr>
      </w:pPr>
      <w:r w:rsidRPr="00756183">
        <w:rPr>
          <w:rFonts w:cs="Arial"/>
        </w:rPr>
        <w:t>Research Opportunity comprises two separate elements:</w:t>
      </w:r>
    </w:p>
    <w:p w14:paraId="5AAFA359" w14:textId="76938890" w:rsidR="00AD72CD" w:rsidRDefault="004A354C" w:rsidP="00227C3F">
      <w:pPr>
        <w:pStyle w:val="DHHSbullet1"/>
      </w:pPr>
      <w:r>
        <w:t>C</w:t>
      </w:r>
      <w:r w:rsidR="00003734" w:rsidRPr="00756183">
        <w:t>areer experiences (relative to opportunity)</w:t>
      </w:r>
    </w:p>
    <w:p w14:paraId="46E40C6A" w14:textId="13960058" w:rsidR="009A6675" w:rsidRDefault="004A354C" w:rsidP="00AD72CD">
      <w:pPr>
        <w:pStyle w:val="DHHSbullet1"/>
      </w:pPr>
      <w:r>
        <w:t>C</w:t>
      </w:r>
      <w:r w:rsidR="00003734" w:rsidRPr="00756183">
        <w:t xml:space="preserve">areer </w:t>
      </w:r>
      <w:r w:rsidR="00B11496">
        <w:t>impact</w:t>
      </w:r>
      <w:r w:rsidR="006A18AF">
        <w:t>s</w:t>
      </w:r>
      <w:r w:rsidR="005428BA">
        <w:t xml:space="preserve"> – includes career</w:t>
      </w:r>
      <w:r w:rsidR="0055536E">
        <w:t xml:space="preserve"> </w:t>
      </w:r>
      <w:r w:rsidR="005428BA">
        <w:t>disruption</w:t>
      </w:r>
      <w:r w:rsidR="0055536E">
        <w:t xml:space="preserve">s/breaks </w:t>
      </w:r>
      <w:r w:rsidR="009A6675">
        <w:t xml:space="preserve">or other life circumstances that interrupt progression of research productivity. </w:t>
      </w:r>
    </w:p>
    <w:p w14:paraId="1F1A73EA" w14:textId="46BBB3CC" w:rsidR="00003734" w:rsidRPr="00F71763" w:rsidRDefault="00003734" w:rsidP="00AD72CD">
      <w:pPr>
        <w:pStyle w:val="DHHSbullet1"/>
        <w:numPr>
          <w:ilvl w:val="0"/>
          <w:numId w:val="0"/>
        </w:numPr>
        <w:ind w:left="284"/>
      </w:pPr>
    </w:p>
    <w:p w14:paraId="54DD95AC" w14:textId="01476BC8" w:rsidR="00003734" w:rsidRPr="00756183" w:rsidRDefault="00003734" w:rsidP="00F71763">
      <w:pPr>
        <w:pStyle w:val="DHHSbody"/>
        <w:rPr>
          <w:rFonts w:cs="Arial"/>
        </w:rPr>
      </w:pPr>
      <w:r w:rsidRPr="00756183">
        <w:rPr>
          <w:rFonts w:cs="Arial"/>
        </w:rPr>
        <w:t xml:space="preserve">There are many ways to capture this information and the details below outline some of the key considerations. </w:t>
      </w:r>
      <w:r w:rsidR="005B2EF7">
        <w:rPr>
          <w:rFonts w:cs="Arial"/>
        </w:rPr>
        <w:t>Applicants</w:t>
      </w:r>
      <w:r w:rsidR="005B2EF7" w:rsidRPr="00756183">
        <w:rPr>
          <w:rFonts w:cs="Arial"/>
        </w:rPr>
        <w:t xml:space="preserve"> </w:t>
      </w:r>
      <w:r w:rsidRPr="00756183">
        <w:rPr>
          <w:rFonts w:cs="Arial"/>
        </w:rPr>
        <w:t xml:space="preserve">should refer to scheme-specific </w:t>
      </w:r>
      <w:r>
        <w:rPr>
          <w:rFonts w:cs="Arial"/>
          <w:i/>
        </w:rPr>
        <w:t>Guidelines for Applicants</w:t>
      </w:r>
      <w:r w:rsidRPr="00756183">
        <w:rPr>
          <w:rFonts w:cs="Arial"/>
          <w:i/>
        </w:rPr>
        <w:t>.</w:t>
      </w:r>
    </w:p>
    <w:p w14:paraId="53C3D421" w14:textId="59E4A3CA" w:rsidR="00003734" w:rsidRPr="00756183" w:rsidRDefault="00003734" w:rsidP="00F71763">
      <w:pPr>
        <w:pStyle w:val="DHHSbody"/>
        <w:rPr>
          <w:rFonts w:cs="Arial"/>
        </w:rPr>
      </w:pPr>
      <w:r w:rsidRPr="00756183">
        <w:rPr>
          <w:rFonts w:cs="Arial"/>
        </w:rPr>
        <w:t xml:space="preserve">In all schemes, </w:t>
      </w:r>
      <w:r w:rsidR="00C85EB5">
        <w:rPr>
          <w:rFonts w:cs="Arial"/>
        </w:rPr>
        <w:t>A</w:t>
      </w:r>
      <w:r w:rsidR="005B2EF7">
        <w:rPr>
          <w:rFonts w:cs="Arial"/>
        </w:rPr>
        <w:t>pplicants</w:t>
      </w:r>
      <w:r w:rsidRPr="00756183">
        <w:rPr>
          <w:rFonts w:cs="Arial"/>
        </w:rPr>
        <w:t xml:space="preserve"> should provide </w:t>
      </w:r>
      <w:r w:rsidR="00F82F92">
        <w:rPr>
          <w:rFonts w:cs="Arial"/>
        </w:rPr>
        <w:t xml:space="preserve">within the </w:t>
      </w:r>
      <w:r w:rsidR="0059062E">
        <w:rPr>
          <w:rFonts w:cs="Arial"/>
        </w:rPr>
        <w:t xml:space="preserve">Impact of </w:t>
      </w:r>
      <w:r w:rsidR="00F82F92">
        <w:rPr>
          <w:rFonts w:cs="Arial"/>
        </w:rPr>
        <w:t xml:space="preserve">Career </w:t>
      </w:r>
      <w:r w:rsidR="0059062E">
        <w:rPr>
          <w:rFonts w:cs="Arial"/>
        </w:rPr>
        <w:t>Disruption</w:t>
      </w:r>
      <w:r w:rsidR="00F82F92">
        <w:rPr>
          <w:rFonts w:cs="Arial"/>
        </w:rPr>
        <w:t xml:space="preserve"> Statement</w:t>
      </w:r>
      <w:r w:rsidRPr="00756183">
        <w:rPr>
          <w:rFonts w:cs="Arial"/>
        </w:rPr>
        <w:t xml:space="preserve"> a brief description of career circumstances which may have influenced their research productivity, for example:</w:t>
      </w:r>
    </w:p>
    <w:p w14:paraId="1AADDE5E" w14:textId="6BB52A4C" w:rsidR="00003734" w:rsidRPr="00756183" w:rsidRDefault="004A354C" w:rsidP="007659B5">
      <w:pPr>
        <w:pStyle w:val="DHHSbullet1"/>
      </w:pPr>
      <w:r>
        <w:t>T</w:t>
      </w:r>
      <w:r w:rsidR="00003734" w:rsidRPr="00756183">
        <w:t>he number of years since graduation with highest educational qualification</w:t>
      </w:r>
    </w:p>
    <w:p w14:paraId="1B38709A" w14:textId="366A8BCC" w:rsidR="00003734" w:rsidRPr="00756183" w:rsidRDefault="004A354C" w:rsidP="007659B5">
      <w:pPr>
        <w:pStyle w:val="DHHSbullet1"/>
      </w:pPr>
      <w:r>
        <w:t>T</w:t>
      </w:r>
      <w:r w:rsidR="00003734" w:rsidRPr="00756183">
        <w:t>he opportunities for research in the context of:</w:t>
      </w:r>
    </w:p>
    <w:p w14:paraId="5F447D1D" w14:textId="5A3C9436" w:rsidR="00003734" w:rsidRPr="00756183" w:rsidRDefault="00003734" w:rsidP="001B39FA">
      <w:pPr>
        <w:pStyle w:val="DHHSbullet2"/>
      </w:pPr>
      <w:r w:rsidRPr="00756183">
        <w:t xml:space="preserve">employment situations, including those </w:t>
      </w:r>
      <w:r w:rsidR="00CC2239">
        <w:t>external to</w:t>
      </w:r>
      <w:r w:rsidRPr="00756183">
        <w:t xml:space="preserve"> academia</w:t>
      </w:r>
    </w:p>
    <w:p w14:paraId="6180B213" w14:textId="77777777" w:rsidR="00003734" w:rsidRPr="00756183" w:rsidRDefault="00003734" w:rsidP="001B39FA">
      <w:pPr>
        <w:pStyle w:val="DHHSbullet2"/>
      </w:pPr>
      <w:r w:rsidRPr="00756183">
        <w:t xml:space="preserve">the research component of employment conditions </w:t>
      </w:r>
    </w:p>
    <w:p w14:paraId="213C7C5D" w14:textId="77777777" w:rsidR="00003734" w:rsidRPr="00756183" w:rsidRDefault="00003734" w:rsidP="001B39FA">
      <w:pPr>
        <w:pStyle w:val="DHHSbullet2"/>
      </w:pPr>
      <w:r w:rsidRPr="00756183">
        <w:t>any periods of unemployment, part-time employment or other interruptions</w:t>
      </w:r>
    </w:p>
    <w:p w14:paraId="287BC01F" w14:textId="6634A1C8" w:rsidR="00003734" w:rsidRPr="00756183" w:rsidRDefault="00003734" w:rsidP="001B39FA">
      <w:pPr>
        <w:pStyle w:val="DHHSbullet2"/>
      </w:pPr>
      <w:r w:rsidRPr="00756183">
        <w:t xml:space="preserve">childbirth, </w:t>
      </w:r>
      <w:r w:rsidR="00E72236">
        <w:t xml:space="preserve">parental responsibilities, </w:t>
      </w:r>
      <w:r w:rsidRPr="00756183">
        <w:t>carers’ responsibilities</w:t>
      </w:r>
      <w:r w:rsidR="00AD72CD">
        <w:t xml:space="preserve">, </w:t>
      </w:r>
      <w:r w:rsidR="001273A6">
        <w:t>major illness/injury</w:t>
      </w:r>
    </w:p>
    <w:p w14:paraId="2E8631EA" w14:textId="012DF454" w:rsidR="00003734" w:rsidRPr="00756183" w:rsidRDefault="004A354C" w:rsidP="001B39FA">
      <w:pPr>
        <w:pStyle w:val="DHHSbullet1"/>
      </w:pPr>
      <w:r>
        <w:t>I</w:t>
      </w:r>
      <w:r w:rsidR="00003734" w:rsidRPr="00756183">
        <w:t xml:space="preserve">f university-based, whether the </w:t>
      </w:r>
      <w:r w:rsidR="00C85EB5">
        <w:t>A</w:t>
      </w:r>
      <w:r w:rsidR="005B2EF7">
        <w:t xml:space="preserve">pplicant </w:t>
      </w:r>
      <w:r w:rsidR="00003734" w:rsidRPr="00756183">
        <w:t>is contractually in a research-only, teaching and research, teaching-only, teaching and administration, research and administration, administration-only academic, researcher in business, program or project manager or other business role, giving any additional information (for example, part-time status) needed to understand the employment situation. The description should indicate the percentage of current role in each of these areas, as well as the percentage of time spent over the past ten years in these roles</w:t>
      </w:r>
    </w:p>
    <w:p w14:paraId="6D35B0E0" w14:textId="17FB7746" w:rsidR="00003734" w:rsidRPr="00756183" w:rsidRDefault="004A354C" w:rsidP="001B39FA">
      <w:pPr>
        <w:pStyle w:val="DHHSbullet1"/>
      </w:pPr>
      <w:r>
        <w:t>I</w:t>
      </w:r>
      <w:r w:rsidR="00003734" w:rsidRPr="00756183">
        <w:t xml:space="preserve">f industry-based, whether the </w:t>
      </w:r>
      <w:r w:rsidR="00C85EB5">
        <w:t>A</w:t>
      </w:r>
      <w:r w:rsidR="004B16D9">
        <w:t>pplicant</w:t>
      </w:r>
      <w:r w:rsidR="00003734" w:rsidRPr="00756183">
        <w:t>’s role is industry, research and administration, research in business, program or project manager or other business role, giving any additional information (for example, part-time status) needed to understand the employment situation. The description should indicate the percentage of current role in each of these areas, as well as the percentage of time spent over the past ten years in these roles</w:t>
      </w:r>
    </w:p>
    <w:p w14:paraId="3FCF7D88" w14:textId="26F3815F" w:rsidR="00003734" w:rsidRPr="00756183" w:rsidRDefault="004A354C" w:rsidP="001B39FA">
      <w:pPr>
        <w:pStyle w:val="DHHSbullet1"/>
      </w:pPr>
      <w:r>
        <w:t>T</w:t>
      </w:r>
      <w:r w:rsidR="00003734" w:rsidRPr="00756183">
        <w:t>he research mentoring and research support facilities availab</w:t>
      </w:r>
      <w:r w:rsidR="00003734">
        <w:t xml:space="preserve">le </w:t>
      </w:r>
      <w:r w:rsidR="00003734" w:rsidRPr="00756183">
        <w:t xml:space="preserve">to the </w:t>
      </w:r>
      <w:r w:rsidR="000B04F6">
        <w:t>A</w:t>
      </w:r>
      <w:r w:rsidR="00A80337">
        <w:t>pplicant</w:t>
      </w:r>
    </w:p>
    <w:p w14:paraId="160FA380" w14:textId="0F9D83AB" w:rsidR="00003734" w:rsidRPr="00756183" w:rsidRDefault="004A354C" w:rsidP="001B39FA">
      <w:pPr>
        <w:pStyle w:val="DHHSbullet1"/>
      </w:pPr>
      <w:r>
        <w:t>A</w:t>
      </w:r>
      <w:r w:rsidR="00003734" w:rsidRPr="00756183">
        <w:t xml:space="preserve">ny other aspects of career or opportunities for research that are relevant to assessment and that have not been detailed elsewhere in this Proposal (for example, any circumstances that may have limited research and publications or affected the time available to conduct and publish their research) </w:t>
      </w:r>
    </w:p>
    <w:p w14:paraId="710017D9" w14:textId="6D9DFD77" w:rsidR="00003734" w:rsidRPr="00756183" w:rsidRDefault="00C85EB5" w:rsidP="001B39FA">
      <w:pPr>
        <w:pStyle w:val="DHHSbullet1"/>
      </w:pPr>
      <w:r>
        <w:t>A</w:t>
      </w:r>
      <w:r w:rsidR="00A80337">
        <w:t>pplicant</w:t>
      </w:r>
      <w:r w:rsidR="00003734" w:rsidRPr="00756183">
        <w:t xml:space="preserve">s should provide a total FTE for periods of unemployment, part-time employment or interruptions for </w:t>
      </w:r>
      <w:r w:rsidR="00112545">
        <w:t>parental leave</w:t>
      </w:r>
      <w:r w:rsidR="00003734" w:rsidRPr="00756183">
        <w:t>, carers’ responsibilities, m</w:t>
      </w:r>
      <w:r w:rsidR="00032237">
        <w:t>ajor</w:t>
      </w:r>
      <w:r w:rsidR="00003734" w:rsidRPr="00756183">
        <w:t xml:space="preserve"> illness</w:t>
      </w:r>
      <w:r w:rsidR="007B347C">
        <w:t>/injury</w:t>
      </w:r>
      <w:r w:rsidR="00003734" w:rsidRPr="00756183">
        <w:t>.</w:t>
      </w:r>
    </w:p>
    <w:p w14:paraId="4683807F" w14:textId="15CAEA60" w:rsidR="6D4D3E8E" w:rsidRDefault="6D4D3E8E" w:rsidP="00347EEE">
      <w:pPr>
        <w:pStyle w:val="DHHSbullet1"/>
        <w:numPr>
          <w:ilvl w:val="0"/>
          <w:numId w:val="0"/>
        </w:numPr>
        <w:ind w:left="284"/>
      </w:pPr>
    </w:p>
    <w:p w14:paraId="2B9FE26F" w14:textId="13252401" w:rsidR="00003734" w:rsidRPr="00506E66" w:rsidRDefault="00532474" w:rsidP="00F71763">
      <w:pPr>
        <w:pStyle w:val="Heading3"/>
      </w:pPr>
      <w:bookmarkStart w:id="248" w:name="_Toc425161297"/>
      <w:bookmarkStart w:id="249" w:name="_Toc425244026"/>
      <w:bookmarkStart w:id="250" w:name="_Toc425244271"/>
      <w:bookmarkStart w:id="251" w:name="_Toc447718766"/>
      <w:bookmarkStart w:id="252" w:name="_Toc447724657"/>
      <w:bookmarkStart w:id="253" w:name="_Toc481153481"/>
      <w:bookmarkStart w:id="254" w:name="_Toc481415709"/>
      <w:r>
        <w:t>2.</w:t>
      </w:r>
      <w:r w:rsidR="00003734" w:rsidRPr="00506E66">
        <w:t>3.3</w:t>
      </w:r>
      <w:r w:rsidR="00003734" w:rsidRPr="00506E66">
        <w:tab/>
      </w:r>
      <w:bookmarkEnd w:id="248"/>
      <w:bookmarkEnd w:id="249"/>
      <w:bookmarkEnd w:id="250"/>
      <w:bookmarkEnd w:id="251"/>
      <w:bookmarkEnd w:id="252"/>
      <w:bookmarkEnd w:id="253"/>
      <w:bookmarkEnd w:id="254"/>
      <w:r w:rsidR="00224634">
        <w:t>Research output</w:t>
      </w:r>
    </w:p>
    <w:p w14:paraId="2FBE86E1" w14:textId="4EFE3D09" w:rsidR="00003734" w:rsidRPr="00756183" w:rsidRDefault="00003734" w:rsidP="00F71763">
      <w:pPr>
        <w:pStyle w:val="DHHSbody"/>
        <w:rPr>
          <w:rFonts w:cs="Arial"/>
        </w:rPr>
      </w:pPr>
      <w:r w:rsidRPr="00756183">
        <w:rPr>
          <w:rFonts w:cs="Arial"/>
        </w:rPr>
        <w:t xml:space="preserve">Evidence of </w:t>
      </w:r>
      <w:r w:rsidR="00E47F5E">
        <w:rPr>
          <w:rFonts w:cs="Arial"/>
        </w:rPr>
        <w:t>research output</w:t>
      </w:r>
      <w:r w:rsidR="00E47F5E" w:rsidRPr="00756183">
        <w:rPr>
          <w:rFonts w:cs="Arial"/>
        </w:rPr>
        <w:t xml:space="preserve"> </w:t>
      </w:r>
      <w:r w:rsidRPr="00756183">
        <w:rPr>
          <w:rFonts w:cs="Arial"/>
        </w:rPr>
        <w:t xml:space="preserve">can be articulated in a combination of ways, </w:t>
      </w:r>
      <w:r w:rsidR="00E40452">
        <w:rPr>
          <w:rFonts w:cs="Arial"/>
        </w:rPr>
        <w:t>and may include</w:t>
      </w:r>
      <w:r w:rsidRPr="00756183">
        <w:rPr>
          <w:rFonts w:cs="Arial"/>
        </w:rPr>
        <w:t>:</w:t>
      </w:r>
    </w:p>
    <w:p w14:paraId="3B493550" w14:textId="745423C4" w:rsidR="00003734" w:rsidRPr="00756183" w:rsidRDefault="004A354C" w:rsidP="001B39FA">
      <w:pPr>
        <w:pStyle w:val="DHHSbullet1"/>
      </w:pPr>
      <w:r>
        <w:t>R</w:t>
      </w:r>
      <w:r w:rsidR="00003734" w:rsidRPr="008C7033">
        <w:t>ecent significant research outputs – a list of outputs split into five categories (over a particular number of years):</w:t>
      </w:r>
    </w:p>
    <w:p w14:paraId="028F1429" w14:textId="49658135" w:rsidR="00003734" w:rsidRPr="008C7033" w:rsidRDefault="004A354C" w:rsidP="001B39FA">
      <w:pPr>
        <w:pStyle w:val="DHHSbullet2"/>
      </w:pPr>
      <w:r>
        <w:t>S</w:t>
      </w:r>
      <w:r w:rsidR="00003734" w:rsidRPr="008C7033">
        <w:t>cholarly books</w:t>
      </w:r>
    </w:p>
    <w:p w14:paraId="4605110E" w14:textId="598F7CCB" w:rsidR="00003734" w:rsidRPr="008C7033" w:rsidRDefault="004A354C" w:rsidP="001B39FA">
      <w:pPr>
        <w:pStyle w:val="DHHSbullet2"/>
      </w:pPr>
      <w:r>
        <w:t>S</w:t>
      </w:r>
      <w:r w:rsidR="00003734" w:rsidRPr="008C7033">
        <w:t>cholarly book chapters</w:t>
      </w:r>
    </w:p>
    <w:p w14:paraId="4B6C2DB7" w14:textId="2A9595EF" w:rsidR="00003734" w:rsidRPr="008C7033" w:rsidRDefault="004A354C" w:rsidP="001B39FA">
      <w:pPr>
        <w:pStyle w:val="DHHSbullet2"/>
      </w:pPr>
      <w:r>
        <w:t>R</w:t>
      </w:r>
      <w:r w:rsidR="00003734" w:rsidRPr="008C7033">
        <w:t>efereed journal articles</w:t>
      </w:r>
    </w:p>
    <w:p w14:paraId="102297FB" w14:textId="3A83B878" w:rsidR="00003734" w:rsidRPr="008C7033" w:rsidRDefault="004A354C" w:rsidP="001B39FA">
      <w:pPr>
        <w:pStyle w:val="DHHSbullet2"/>
      </w:pPr>
      <w:r>
        <w:t>R</w:t>
      </w:r>
      <w:r w:rsidR="00003734" w:rsidRPr="008C7033">
        <w:t>efereed conference papers only when the paper was published in full in the proceedings</w:t>
      </w:r>
    </w:p>
    <w:p w14:paraId="1A2D2B23" w14:textId="02857DBD" w:rsidR="00003734" w:rsidRPr="008C7033" w:rsidRDefault="004A354C" w:rsidP="001B39FA">
      <w:pPr>
        <w:pStyle w:val="DHHSbullet2"/>
      </w:pPr>
      <w:r>
        <w:t>O</w:t>
      </w:r>
      <w:r w:rsidR="00003734" w:rsidRPr="008C7033">
        <w:t>ther (for example, major exhibitions, compositions or performance).</w:t>
      </w:r>
    </w:p>
    <w:p w14:paraId="1CDA346D" w14:textId="519BC6E5" w:rsidR="004D5EB7" w:rsidRPr="00756183" w:rsidRDefault="004A354C" w:rsidP="00BE49F1">
      <w:pPr>
        <w:pStyle w:val="DHHSbullet1"/>
      </w:pPr>
      <w:r>
        <w:t>G</w:t>
      </w:r>
      <w:r w:rsidR="00003734" w:rsidRPr="00756183">
        <w:t xml:space="preserve">rants awarded as a Chief </w:t>
      </w:r>
      <w:r w:rsidR="007E4858">
        <w:t>Applicant</w:t>
      </w:r>
      <w:r w:rsidR="00003734" w:rsidRPr="00756183">
        <w:t xml:space="preserve">, </w:t>
      </w:r>
      <w:r w:rsidR="00C5641F">
        <w:t>Associate</w:t>
      </w:r>
      <w:r w:rsidR="007E4858">
        <w:t xml:space="preserve"> or Co-</w:t>
      </w:r>
      <w:r w:rsidR="00003734" w:rsidRPr="00756183">
        <w:t>Investigator, Fellow or Awardee (ove</w:t>
      </w:r>
      <w:r w:rsidR="00003734">
        <w:t>r a particular number of years)</w:t>
      </w:r>
    </w:p>
    <w:p w14:paraId="57C6C966" w14:textId="5CC14EB2" w:rsidR="00386796" w:rsidRPr="00252971" w:rsidRDefault="004A354C" w:rsidP="00BE49F1">
      <w:pPr>
        <w:pStyle w:val="DHHSbullet1"/>
      </w:pPr>
      <w:r>
        <w:t>C</w:t>
      </w:r>
      <w:r w:rsidR="00003734" w:rsidRPr="00756183">
        <w:t>areer-best research outputs</w:t>
      </w:r>
      <w:r w:rsidR="00AD72CD">
        <w:t xml:space="preserve"> </w:t>
      </w:r>
      <w:r w:rsidR="00003734" w:rsidRPr="00756183">
        <w:t>– full reference and statement explaining and justifying the impac</w:t>
      </w:r>
      <w:r w:rsidR="00003734">
        <w:t>t or significance of the output</w:t>
      </w:r>
      <w:r w:rsidR="00391CA9">
        <w:t xml:space="preserve"> </w:t>
      </w:r>
      <w:r w:rsidR="00003734">
        <w:t>m</w:t>
      </w:r>
      <w:r w:rsidR="00003734" w:rsidRPr="00756183">
        <w:t xml:space="preserve">ost significant contributions to the research field of this </w:t>
      </w:r>
      <w:r w:rsidR="00B43BA6">
        <w:t>p</w:t>
      </w:r>
      <w:r w:rsidR="00003734" w:rsidRPr="00756183">
        <w:t xml:space="preserve">roposal. A statement of how the </w:t>
      </w:r>
      <w:r w:rsidR="00C85EB5">
        <w:t>A</w:t>
      </w:r>
      <w:r w:rsidR="00A263BF">
        <w:t>pplicant</w:t>
      </w:r>
      <w:r w:rsidR="00003734" w:rsidRPr="00756183">
        <w:t xml:space="preserve">’s research has led to a significant change or advancement of knowledge in their field, </w:t>
      </w:r>
      <w:r w:rsidR="00003734" w:rsidRPr="00252971">
        <w:t>and an outline of how these achievements will contribute to the proposal</w:t>
      </w:r>
      <w:r w:rsidR="00C85EB5">
        <w:t>.</w:t>
      </w:r>
    </w:p>
    <w:p w14:paraId="459F76E6" w14:textId="77777777" w:rsidR="00BE49F1" w:rsidRDefault="00BE49F1" w:rsidP="0056347D">
      <w:pPr>
        <w:pStyle w:val="DHHSbullet1"/>
        <w:numPr>
          <w:ilvl w:val="0"/>
          <w:numId w:val="0"/>
        </w:numPr>
      </w:pPr>
    </w:p>
    <w:p w14:paraId="71FA0F06" w14:textId="372C9D68" w:rsidR="0056347D" w:rsidRPr="00CF2016" w:rsidRDefault="00030B06" w:rsidP="0056347D">
      <w:pPr>
        <w:pStyle w:val="DHHSbullet1"/>
        <w:numPr>
          <w:ilvl w:val="0"/>
          <w:numId w:val="0"/>
        </w:numPr>
      </w:pPr>
      <w:r w:rsidRPr="00252971">
        <w:lastRenderedPageBreak/>
        <w:t>Applicants may also c</w:t>
      </w:r>
      <w:r w:rsidR="0056347D" w:rsidRPr="00252971">
        <w:t xml:space="preserve">onsider providing a description of research impact relative to opportunity and in the context of discipline/end user benefits. This may comprise of additional evidence in the form of </w:t>
      </w:r>
      <w:r w:rsidR="00003734" w:rsidRPr="00252971">
        <w:t xml:space="preserve">research </w:t>
      </w:r>
      <w:r w:rsidR="00003734" w:rsidRPr="00CF2016">
        <w:t xml:space="preserve">outputs other than academic publications </w:t>
      </w:r>
      <w:r w:rsidR="0056347D" w:rsidRPr="00CF2016">
        <w:t>including, but not limited to:</w:t>
      </w:r>
    </w:p>
    <w:p w14:paraId="2139840F" w14:textId="15095807" w:rsidR="0056347D" w:rsidRPr="00CF2016" w:rsidRDefault="004A354C" w:rsidP="0056347D">
      <w:pPr>
        <w:pStyle w:val="DHHSbody"/>
        <w:numPr>
          <w:ilvl w:val="0"/>
          <w:numId w:val="44"/>
        </w:numPr>
        <w:ind w:left="284" w:hanging="284"/>
      </w:pPr>
      <w:r>
        <w:t>P</w:t>
      </w:r>
      <w:r w:rsidR="00003734" w:rsidRPr="00CF2016">
        <w:t>atents, intellectual property licences, registered designs</w:t>
      </w:r>
      <w:r w:rsidR="0056347D" w:rsidRPr="00CF2016" w:rsidDel="00AF139F">
        <w:t xml:space="preserve"> </w:t>
      </w:r>
    </w:p>
    <w:p w14:paraId="7D866E76" w14:textId="0BAC6B90" w:rsidR="0056347D" w:rsidRPr="00CF2016" w:rsidRDefault="004A354C" w:rsidP="0056347D">
      <w:pPr>
        <w:pStyle w:val="DHHSbody"/>
        <w:numPr>
          <w:ilvl w:val="0"/>
          <w:numId w:val="44"/>
        </w:numPr>
        <w:ind w:left="284" w:hanging="284"/>
      </w:pPr>
      <w:r>
        <w:t>P</w:t>
      </w:r>
      <w:r w:rsidR="00003734" w:rsidRPr="00CF2016">
        <w:t>olicy advice and other professional activities</w:t>
      </w:r>
      <w:r w:rsidR="0056347D" w:rsidRPr="00CF2016">
        <w:rPr>
          <w:color w:val="2B579A"/>
        </w:rPr>
        <w:t xml:space="preserve"> </w:t>
      </w:r>
    </w:p>
    <w:p w14:paraId="5B3A0000" w14:textId="55D8B874" w:rsidR="0056347D" w:rsidRPr="00CF2016" w:rsidRDefault="004A354C" w:rsidP="0056347D">
      <w:pPr>
        <w:pStyle w:val="DHHSbody"/>
        <w:numPr>
          <w:ilvl w:val="0"/>
          <w:numId w:val="44"/>
        </w:numPr>
        <w:ind w:left="284" w:hanging="284"/>
      </w:pPr>
      <w:r>
        <w:t>G</w:t>
      </w:r>
      <w:r w:rsidR="00406CBA">
        <w:t>rey literature</w:t>
      </w:r>
      <w:r w:rsidR="0056347D">
        <w:t xml:space="preserve"> </w:t>
      </w:r>
    </w:p>
    <w:p w14:paraId="5DAB863E" w14:textId="2185CF22" w:rsidR="0056347D" w:rsidRPr="00B91DA0" w:rsidRDefault="004A354C" w:rsidP="0056347D">
      <w:pPr>
        <w:pStyle w:val="DHHSbody"/>
        <w:numPr>
          <w:ilvl w:val="0"/>
          <w:numId w:val="44"/>
        </w:numPr>
        <w:ind w:left="284" w:hanging="284"/>
      </w:pPr>
      <w:r>
        <w:t>C</w:t>
      </w:r>
      <w:r w:rsidR="00406CBA" w:rsidRPr="00B91DA0">
        <w:t>onsultancy reports or reviews, competitive grants and other research support</w:t>
      </w:r>
      <w:r w:rsidR="00EB0ED7" w:rsidRPr="00B91DA0">
        <w:t xml:space="preserve"> income</w:t>
      </w:r>
    </w:p>
    <w:p w14:paraId="39653489" w14:textId="38F4EBE3" w:rsidR="00736827" w:rsidRPr="00B91DA0" w:rsidRDefault="004A354C" w:rsidP="0056347D">
      <w:pPr>
        <w:pStyle w:val="DHHSbody"/>
        <w:numPr>
          <w:ilvl w:val="0"/>
          <w:numId w:val="44"/>
        </w:numPr>
        <w:ind w:left="284" w:hanging="284"/>
      </w:pPr>
      <w:r>
        <w:t>H</w:t>
      </w:r>
      <w:r w:rsidR="00406CBA" w:rsidRPr="00B91DA0">
        <w:t>igher degree student completions, major exhibitions, invited keynote and speaker addresses and other professional activities and contributions to the research field</w:t>
      </w:r>
    </w:p>
    <w:p w14:paraId="69D44455" w14:textId="3601F623" w:rsidR="0056347D" w:rsidRPr="00252971" w:rsidRDefault="004A354C" w:rsidP="0056347D">
      <w:pPr>
        <w:pStyle w:val="DHHSbody"/>
        <w:numPr>
          <w:ilvl w:val="0"/>
          <w:numId w:val="44"/>
        </w:numPr>
        <w:ind w:left="284" w:hanging="284"/>
      </w:pPr>
      <w:r>
        <w:t>M</w:t>
      </w:r>
      <w:r w:rsidR="0056347D" w:rsidRPr="00252971">
        <w:t>entoring, supervising and supporting junior researchers in their career development</w:t>
      </w:r>
    </w:p>
    <w:p w14:paraId="79CD00AE" w14:textId="05B1C8A6" w:rsidR="0056347D" w:rsidRPr="00252971" w:rsidRDefault="004A354C" w:rsidP="0056347D">
      <w:pPr>
        <w:pStyle w:val="DHHSbody"/>
        <w:numPr>
          <w:ilvl w:val="0"/>
          <w:numId w:val="44"/>
        </w:numPr>
        <w:ind w:left="284" w:hanging="284"/>
      </w:pPr>
      <w:r>
        <w:t>C</w:t>
      </w:r>
      <w:r w:rsidR="0056347D" w:rsidRPr="00252971">
        <w:t>ommunity engagement and public advocacy</w:t>
      </w:r>
    </w:p>
    <w:p w14:paraId="3344028B" w14:textId="7C03E348" w:rsidR="0056347D" w:rsidRPr="00252971" w:rsidRDefault="004A354C" w:rsidP="0056347D">
      <w:pPr>
        <w:pStyle w:val="DHHSbody"/>
        <w:numPr>
          <w:ilvl w:val="0"/>
          <w:numId w:val="44"/>
        </w:numPr>
        <w:ind w:left="284" w:hanging="284"/>
      </w:pPr>
      <w:r>
        <w:t>C</w:t>
      </w:r>
      <w:r w:rsidR="0056347D" w:rsidRPr="00252971">
        <w:t>ontributions to government advisory boards, committees and professional societies (local, national or international)</w:t>
      </w:r>
    </w:p>
    <w:p w14:paraId="604FA81D" w14:textId="16DD86E5" w:rsidR="00003734" w:rsidRPr="00252971" w:rsidRDefault="004A354C" w:rsidP="0056347D">
      <w:pPr>
        <w:pStyle w:val="DHHSbody"/>
        <w:numPr>
          <w:ilvl w:val="0"/>
          <w:numId w:val="44"/>
        </w:numPr>
        <w:ind w:left="284" w:hanging="284"/>
      </w:pPr>
      <w:r>
        <w:t>N</w:t>
      </w:r>
      <w:r w:rsidR="0056347D" w:rsidRPr="00252971">
        <w:t>on research contributions to organisations, institutes and government departments</w:t>
      </w:r>
    </w:p>
    <w:p w14:paraId="76A177E9" w14:textId="73B70D5D" w:rsidR="0056347D" w:rsidRPr="00252971" w:rsidRDefault="004A354C" w:rsidP="0056347D">
      <w:pPr>
        <w:pStyle w:val="DHHSbody"/>
        <w:numPr>
          <w:ilvl w:val="0"/>
          <w:numId w:val="44"/>
        </w:numPr>
        <w:ind w:left="284" w:hanging="284"/>
      </w:pPr>
      <w:r>
        <w:t>C</w:t>
      </w:r>
      <w:r w:rsidR="0056347D" w:rsidRPr="00252971">
        <w:t>onception or direction of a research project or program</w:t>
      </w:r>
    </w:p>
    <w:bookmarkEnd w:id="153"/>
    <w:p w14:paraId="32F8BBC8" w14:textId="2277C9BC" w:rsidR="0056347D" w:rsidRPr="00252971" w:rsidRDefault="004A354C" w:rsidP="0056347D">
      <w:pPr>
        <w:pStyle w:val="DHHSbody"/>
        <w:numPr>
          <w:ilvl w:val="0"/>
          <w:numId w:val="44"/>
        </w:numPr>
        <w:ind w:left="284" w:hanging="284"/>
      </w:pPr>
      <w:r>
        <w:t>B</w:t>
      </w:r>
      <w:r w:rsidR="0056347D" w:rsidRPr="00252971">
        <w:t>uilding and maintaining collaborative networks necessary to achieve research outcomes within or beyond own institution</w:t>
      </w:r>
      <w:r w:rsidR="007A012F" w:rsidRPr="00252971">
        <w:t>.</w:t>
      </w:r>
    </w:p>
    <w:p w14:paraId="110DC831" w14:textId="77777777" w:rsidR="00CE25AE" w:rsidRPr="00252971" w:rsidRDefault="00CE25AE" w:rsidP="009138E9">
      <w:pPr>
        <w:pStyle w:val="DHHSbullet2"/>
        <w:numPr>
          <w:ilvl w:val="0"/>
          <w:numId w:val="0"/>
        </w:numPr>
        <w:ind w:left="567"/>
      </w:pPr>
    </w:p>
    <w:p w14:paraId="3782AB47" w14:textId="6C6FF6FD" w:rsidR="00D200BF" w:rsidRPr="00756183" w:rsidRDefault="00D200BF" w:rsidP="00D200BF">
      <w:pPr>
        <w:pStyle w:val="DHHSbody"/>
      </w:pPr>
      <w:bookmarkStart w:id="255" w:name="_Toc220904146"/>
      <w:bookmarkStart w:id="256" w:name="_Toc220900196"/>
      <w:bookmarkStart w:id="257" w:name="_Toc220900234"/>
      <w:bookmarkStart w:id="258" w:name="_Toc220903083"/>
      <w:bookmarkStart w:id="259" w:name="_Toc220904148"/>
      <w:bookmarkStart w:id="260" w:name="_Toc221440427"/>
      <w:bookmarkEnd w:id="255"/>
      <w:bookmarkEnd w:id="256"/>
      <w:bookmarkEnd w:id="257"/>
      <w:bookmarkEnd w:id="258"/>
      <w:bookmarkEnd w:id="259"/>
      <w:bookmarkEnd w:id="260"/>
      <w:r w:rsidRPr="00252971">
        <w:t xml:space="preserve">For more detailed information about career disruption and how to apply the Relative to Opportunity Policy, including examples to illustrate the concept, please refer to NHMRC’s </w:t>
      </w:r>
      <w:hyperlink r:id="rId36" w:history="1">
        <w:r w:rsidRPr="003F65A6">
          <w:rPr>
            <w:rStyle w:val="Hyperlink"/>
          </w:rPr>
          <w:t>Relative to Opportunity Policy</w:t>
        </w:r>
      </w:hyperlink>
      <w:r w:rsidR="00F46266">
        <w:t xml:space="preserve"> </w:t>
      </w:r>
      <w:r w:rsidR="00875AD5">
        <w:t>&lt;</w:t>
      </w:r>
      <w:r w:rsidR="002E279A" w:rsidRPr="002E279A">
        <w:t>https://www.nhmrc.gov.au/about-us/policy-and-priorities</w:t>
      </w:r>
      <w:r w:rsidR="003F65A6">
        <w:t>&gt;</w:t>
      </w:r>
      <w:r w:rsidRPr="00252971">
        <w:t>.</w:t>
      </w:r>
      <w:r>
        <w:t xml:space="preserve"> </w:t>
      </w:r>
    </w:p>
    <w:p w14:paraId="010F8A70" w14:textId="77777777" w:rsidR="005D427D" w:rsidRDefault="005D427D"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6C403129"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3770195A"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4A31D7FF"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080DEBCE"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603359AA"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01F47569"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7C354A92"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3E73F544" w14:textId="77777777" w:rsidR="006C2BF5" w:rsidRDefault="006C2BF5" w:rsidP="00B34DEF">
      <w:pPr>
        <w:pStyle w:val="DHSText12pt"/>
        <w:widowControl/>
        <w:overflowPunct/>
        <w:autoSpaceDE/>
        <w:autoSpaceDN/>
        <w:adjustRightInd/>
        <w:spacing w:after="120"/>
        <w:jc w:val="both"/>
        <w:textAlignment w:val="auto"/>
        <w:rPr>
          <w:rFonts w:ascii="Arial" w:eastAsia="Times" w:hAnsi="Arial" w:cs="Arial"/>
          <w:bCs w:val="0"/>
          <w:sz w:val="20"/>
        </w:rPr>
      </w:pPr>
    </w:p>
    <w:p w14:paraId="6E7493F1" w14:textId="77777777" w:rsidR="005D427D" w:rsidRPr="00756183" w:rsidRDefault="005D427D" w:rsidP="00B34DEF">
      <w:pPr>
        <w:pStyle w:val="DHSText12pt"/>
        <w:widowControl/>
        <w:overflowPunct/>
        <w:autoSpaceDE/>
        <w:autoSpaceDN/>
        <w:adjustRightInd/>
        <w:spacing w:after="120"/>
        <w:jc w:val="both"/>
        <w:textAlignment w:val="auto"/>
        <w:rPr>
          <w:rFonts w:ascii="Arial" w:eastAsia="Times" w:hAnsi="Arial" w:cs="Arial"/>
          <w:sz w:val="20"/>
        </w:rPr>
      </w:pPr>
    </w:p>
    <w:p w14:paraId="1F1236AA" w14:textId="77777777" w:rsidR="00B34DEF" w:rsidRDefault="00B34DEF">
      <w:pPr>
        <w:pStyle w:val="DHHSbody"/>
        <w:rPr>
          <w:rFonts w:cs="Arial"/>
        </w:rPr>
      </w:pPr>
    </w:p>
    <w:p w14:paraId="25745E46" w14:textId="77777777" w:rsidR="005D427D" w:rsidRPr="005060B1" w:rsidRDefault="005D427D" w:rsidP="005D427D">
      <w:pPr>
        <w:pStyle w:val="DHHSbody"/>
        <w:pBdr>
          <w:top w:val="single" w:sz="4" w:space="1" w:color="auto"/>
          <w:left w:val="single" w:sz="4" w:space="4" w:color="auto"/>
          <w:bottom w:val="single" w:sz="4" w:space="1" w:color="auto"/>
          <w:right w:val="single" w:sz="4" w:space="4" w:color="auto"/>
        </w:pBdr>
        <w:rPr>
          <w:sz w:val="24"/>
          <w:szCs w:val="24"/>
        </w:rPr>
      </w:pPr>
      <w:r w:rsidRPr="005060B1">
        <w:rPr>
          <w:sz w:val="24"/>
          <w:szCs w:val="24"/>
        </w:rPr>
        <w:t xml:space="preserve">To receive this publication in an accessible format </w:t>
      </w:r>
      <w:hyperlink r:id="rId37" w:history="1">
        <w:r w:rsidRPr="005060B1">
          <w:rPr>
            <w:rStyle w:val="Hyperlink"/>
            <w:sz w:val="24"/>
            <w:szCs w:val="24"/>
          </w:rPr>
          <w:t>email the Victorian Cancer Agency</w:t>
        </w:r>
      </w:hyperlink>
      <w:r w:rsidRPr="005060B1">
        <w:rPr>
          <w:sz w:val="24"/>
          <w:szCs w:val="24"/>
        </w:rPr>
        <w:t xml:space="preserve"> &lt;</w:t>
      </w:r>
      <w:r w:rsidRPr="00015327">
        <w:rPr>
          <w:rStyle w:val="Hyperlink"/>
          <w:sz w:val="24"/>
          <w:szCs w:val="24"/>
        </w:rPr>
        <w:t>victorian.canceragency@dhhs.vic.gov.au</w:t>
      </w:r>
      <w:r w:rsidRPr="005060B1">
        <w:rPr>
          <w:sz w:val="24"/>
          <w:szCs w:val="24"/>
        </w:rPr>
        <w:t>&gt;</w:t>
      </w:r>
    </w:p>
    <w:p w14:paraId="7C516DE8" w14:textId="77777777" w:rsidR="005D427D" w:rsidRPr="005060B1" w:rsidRDefault="005D427D" w:rsidP="005D427D">
      <w:pPr>
        <w:pStyle w:val="DHHSbody"/>
        <w:pBdr>
          <w:top w:val="single" w:sz="4" w:space="1" w:color="auto"/>
          <w:left w:val="single" w:sz="4" w:space="4" w:color="auto"/>
          <w:bottom w:val="single" w:sz="4" w:space="1" w:color="auto"/>
          <w:right w:val="single" w:sz="4" w:space="4" w:color="auto"/>
        </w:pBdr>
      </w:pPr>
      <w:r w:rsidRPr="005060B1">
        <w:t>Authorised and published by the Victorian Government, 1 Treasury Place, Melbourne.</w:t>
      </w:r>
    </w:p>
    <w:p w14:paraId="5AF24C40" w14:textId="754F3C9E" w:rsidR="005D427D" w:rsidRPr="005060B1" w:rsidRDefault="005D427D" w:rsidP="005D427D">
      <w:pPr>
        <w:pStyle w:val="DHHSbody"/>
        <w:pBdr>
          <w:top w:val="single" w:sz="4" w:space="1" w:color="auto"/>
          <w:left w:val="single" w:sz="4" w:space="4" w:color="auto"/>
          <w:bottom w:val="single" w:sz="4" w:space="1" w:color="auto"/>
          <w:right w:val="single" w:sz="4" w:space="4" w:color="auto"/>
        </w:pBdr>
      </w:pPr>
      <w:r w:rsidRPr="005060B1">
        <w:t xml:space="preserve">© State of Victoria, Department of Health </w:t>
      </w:r>
      <w:r w:rsidR="006C2BF5">
        <w:t>May</w:t>
      </w:r>
      <w:r w:rsidRPr="005060B1">
        <w:t xml:space="preserve"> 20</w:t>
      </w:r>
      <w:r>
        <w:t>2</w:t>
      </w:r>
      <w:r w:rsidR="00473CAC">
        <w:t>3</w:t>
      </w:r>
    </w:p>
    <w:p w14:paraId="578119FD" w14:textId="41D25F2B" w:rsidR="00CE5C5D" w:rsidRPr="00CB16CD" w:rsidRDefault="005D427D" w:rsidP="006C2BF5">
      <w:pPr>
        <w:pStyle w:val="DHHSbody"/>
        <w:pBdr>
          <w:top w:val="single" w:sz="4" w:space="1" w:color="auto"/>
          <w:left w:val="single" w:sz="4" w:space="4" w:color="auto"/>
          <w:bottom w:val="single" w:sz="4" w:space="1" w:color="auto"/>
          <w:right w:val="single" w:sz="4" w:space="4" w:color="auto"/>
        </w:pBdr>
      </w:pPr>
      <w:r w:rsidRPr="005060B1">
        <w:t xml:space="preserve">Available at: </w:t>
      </w:r>
      <w:hyperlink r:id="rId38" w:history="1">
        <w:r w:rsidRPr="005060B1">
          <w:rPr>
            <w:rStyle w:val="Hyperlink"/>
          </w:rPr>
          <w:t>Victorian Cancer Agency</w:t>
        </w:r>
      </w:hyperlink>
      <w:r w:rsidRPr="005060B1">
        <w:t xml:space="preserve"> &lt;</w:t>
      </w:r>
      <w:r w:rsidRPr="00015327">
        <w:rPr>
          <w:rStyle w:val="Hyperlink"/>
        </w:rPr>
        <w:t>www.victoriancanceragency.vic.gov.au</w:t>
      </w:r>
      <w:r w:rsidRPr="005060B1">
        <w:t>&gt;</w:t>
      </w:r>
    </w:p>
    <w:sectPr w:rsidR="00CE5C5D" w:rsidRPr="00CB16CD" w:rsidSect="00177C04">
      <w:headerReference w:type="even" r:id="rId39"/>
      <w:headerReference w:type="default" r:id="rId40"/>
      <w:footerReference w:type="even" r:id="rId41"/>
      <w:footerReference w:type="default" r:id="rId42"/>
      <w:footerReference w:type="first" r:id="rId43"/>
      <w:pgSz w:w="11906" w:h="16838"/>
      <w:pgMar w:top="1440" w:right="1080" w:bottom="1440" w:left="1080"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BE32" w14:textId="77777777" w:rsidR="00444DC2" w:rsidRDefault="00444DC2">
      <w:r>
        <w:separator/>
      </w:r>
    </w:p>
  </w:endnote>
  <w:endnote w:type="continuationSeparator" w:id="0">
    <w:p w14:paraId="5DD4988D" w14:textId="77777777" w:rsidR="00444DC2" w:rsidRDefault="00444DC2">
      <w:r>
        <w:continuationSeparator/>
      </w:r>
    </w:p>
  </w:endnote>
  <w:endnote w:type="continuationNotice" w:id="1">
    <w:p w14:paraId="0A53D869" w14:textId="77777777" w:rsidR="00444DC2" w:rsidRDefault="00444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A53A" w14:textId="43C1E037" w:rsidR="00E24956" w:rsidRDefault="00A43085">
    <w:pPr>
      <w:pStyle w:val="Footer"/>
    </w:pPr>
    <w:r>
      <w:rPr>
        <w:noProof/>
        <w:color w:val="2B579A"/>
        <w:shd w:val="clear" w:color="auto" w:fill="E6E6E6"/>
      </w:rPr>
      <mc:AlternateContent>
        <mc:Choice Requires="wps">
          <w:drawing>
            <wp:anchor distT="0" distB="0" distL="114300" distR="114300" simplePos="0" relativeHeight="251658243" behindDoc="0" locked="0" layoutInCell="0" allowOverlap="1" wp14:anchorId="125031BB" wp14:editId="6E565887">
              <wp:simplePos x="0" y="0"/>
              <wp:positionH relativeFrom="page">
                <wp:align>left</wp:align>
              </wp:positionH>
              <wp:positionV relativeFrom="bottomMargin">
                <wp:align>top</wp:align>
              </wp:positionV>
              <wp:extent cx="7560310" cy="311785"/>
              <wp:effectExtent l="0" t="0" r="0" b="12065"/>
              <wp:wrapNone/>
              <wp:docPr id="3" name="Text Box 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9CFCB" w14:textId="469A370D"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5031BB" id="_x0000_t202" coordsize="21600,21600" o:spt="202" path="m,l,21600r21600,l21600,xe">
              <v:stroke joinstyle="miter"/>
              <v:path gradientshapeok="t" o:connecttype="rect"/>
            </v:shapetype>
            <v:shape id="Text Box 3" o:spid="_x0000_s1026" type="#_x0000_t202" alt="{&quot;HashCode&quot;:904758361,&quot;Height&quot;:841.0,&quot;Width&quot;:595.0,&quot;Placement&quot;:&quot;Footer&quot;,&quot;Index&quot;:&quot;OddAndEven&quot;,&quot;Section&quot;:1,&quot;Top&quot;:0.0,&quot;Left&quot;:0.0}" style="position:absolute;margin-left:0;margin-top:0;width:595.3pt;height:24.55pt;z-index:251658243;visibility:visible;mso-wrap-style:square;mso-wrap-distance-left:9pt;mso-wrap-distance-top:0;mso-wrap-distance-right:9pt;mso-wrap-distance-bottom:0;mso-position-horizontal:left;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" o:allowincell="f" filled="f" stroked="f" strokeweight=".5pt">
              <v:textbox inset=",0,,0">
                <w:txbxContent>
                  <w:p w14:paraId="3D89CFCB" w14:textId="469A370D"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v:textbox>
              <w10:wrap anchorx="page" anchory="margin"/>
            </v:shape>
          </w:pict>
        </mc:Fallback>
      </mc:AlternateContent>
    </w:r>
    <w:r w:rsidR="00DB042B">
      <w:t>202</w:t>
    </w:r>
    <w:r w:rsidR="00C213F6">
      <w:t>3</w:t>
    </w:r>
    <w:r w:rsidR="00DB042B">
      <w:t xml:space="preserve"> Victorian Cancer Agency Funding Rules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8447" w14:textId="13CC65B3" w:rsidR="00A43085" w:rsidRDefault="00A43085">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2366442B" wp14:editId="74BA5233">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AB360" w14:textId="7642D5CD"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66442B" id="_x0000_t202" coordsize="21600,21600" o:spt="202" path="m,l,21600r21600,l21600,xe">
              <v:stroke joinstyle="miter"/>
              <v:path gradientshapeok="t" o:connecttype="rect"/>
            </v:shapetype>
            <v:shape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FEAB360" w14:textId="7642D5CD"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050C" w14:textId="03349C59" w:rsidR="00E24956" w:rsidRDefault="00A43085" w:rsidP="00177C04">
    <w:pPr>
      <w:pStyle w:val="DHHS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41C337F2" wp14:editId="145F091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B5B2F" w14:textId="79570448"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337F2" id="_x0000_t202" coordsize="21600,21600" o:spt="202" path="m,l,21600r21600,l21600,xe">
              <v:stroke joinstyle="miter"/>
              <v:path gradientshapeok="t" o:connecttype="rect"/>
            </v:shapetype>
            <v:shape id="Text Box 5" o:spid="_x0000_s1028"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7B5B2F" w14:textId="79570448"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v:textbox>
              <w10:wrap anchorx="page" anchory="page"/>
            </v:shape>
          </w:pict>
        </mc:Fallback>
      </mc:AlternateContent>
    </w:r>
    <w:r w:rsidR="00E24956">
      <w:t xml:space="preserve">Page </w:t>
    </w:r>
    <w:r w:rsidR="00E24956" w:rsidRPr="005A39EC">
      <w:rPr>
        <w:color w:val="2B579A"/>
        <w:shd w:val="clear" w:color="auto" w:fill="E6E6E6"/>
      </w:rPr>
      <w:fldChar w:fldCharType="begin"/>
    </w:r>
    <w:r w:rsidR="00E24956" w:rsidRPr="005A39EC">
      <w:instrText xml:space="preserve"> PAGE </w:instrText>
    </w:r>
    <w:r w:rsidR="00E24956" w:rsidRPr="005A39EC">
      <w:rPr>
        <w:color w:val="2B579A"/>
        <w:shd w:val="clear" w:color="auto" w:fill="E6E6E6"/>
      </w:rPr>
      <w:fldChar w:fldCharType="separate"/>
    </w:r>
    <w:r w:rsidR="00E24956">
      <w:rPr>
        <w:noProof/>
      </w:rPr>
      <w:t>18</w:t>
    </w:r>
    <w:r w:rsidR="00E24956" w:rsidRPr="005A39EC">
      <w:rPr>
        <w:color w:val="2B579A"/>
        <w:shd w:val="clear" w:color="auto" w:fill="E6E6E6"/>
      </w:rPr>
      <w:fldChar w:fldCharType="end"/>
    </w:r>
    <w:r w:rsidR="00E24956">
      <w:tab/>
    </w:r>
    <w:r w:rsidR="00371E5B">
      <w:t xml:space="preserve">2023 </w:t>
    </w:r>
    <w:r w:rsidR="00E24956">
      <w:t>Victorian Cancer Agency Funding Rules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972B" w14:textId="1E6E2FAA" w:rsidR="00E24956" w:rsidRPr="0031753A" w:rsidRDefault="00A43085" w:rsidP="00E969B1">
    <w:pPr>
      <w:pStyle w:val="DHHSfooter"/>
    </w:pPr>
    <w:r>
      <w:rPr>
        <w:noProof/>
        <w:color w:val="2B579A"/>
        <w:shd w:val="clear" w:color="auto" w:fill="E6E6E6"/>
      </w:rPr>
      <mc:AlternateContent>
        <mc:Choice Requires="wps">
          <w:drawing>
            <wp:anchor distT="0" distB="0" distL="114300" distR="114300" simplePos="0" relativeHeight="251658241" behindDoc="0" locked="0" layoutInCell="0" allowOverlap="1" wp14:anchorId="04275332" wp14:editId="1800BAF5">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F0B3B" w14:textId="7BA356A5"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275332"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CF0B3B" w14:textId="7BA356A5" w:rsidR="00A43085" w:rsidRPr="00A43085" w:rsidRDefault="00A43085" w:rsidP="00A43085">
                    <w:pPr>
                      <w:jc w:val="center"/>
                      <w:rPr>
                        <w:rFonts w:ascii="Arial Black" w:hAnsi="Arial Black"/>
                        <w:color w:val="000000"/>
                      </w:rPr>
                    </w:pPr>
                    <w:r w:rsidRPr="00A43085">
                      <w:rPr>
                        <w:rFonts w:ascii="Arial Black" w:hAnsi="Arial Black"/>
                        <w:color w:val="000000"/>
                      </w:rPr>
                      <w:t>OFFICIAL</w:t>
                    </w:r>
                  </w:p>
                </w:txbxContent>
              </v:textbox>
              <w10:wrap anchorx="page" anchory="page"/>
            </v:shape>
          </w:pict>
        </mc:Fallback>
      </mc:AlternateContent>
    </w:r>
    <w:r w:rsidR="00E24956" w:rsidRPr="0031753A">
      <w:tab/>
      <w:t xml:space="preserve">Page </w:t>
    </w:r>
    <w:r w:rsidR="00E24956" w:rsidRPr="0031753A">
      <w:rPr>
        <w:color w:val="2B579A"/>
        <w:shd w:val="clear" w:color="auto" w:fill="E6E6E6"/>
      </w:rPr>
      <w:fldChar w:fldCharType="begin"/>
    </w:r>
    <w:r w:rsidR="00E24956" w:rsidRPr="0031753A">
      <w:instrText xml:space="preserve"> PAGE </w:instrText>
    </w:r>
    <w:r w:rsidR="00E24956" w:rsidRPr="0031753A">
      <w:rPr>
        <w:color w:val="2B579A"/>
        <w:shd w:val="clear" w:color="auto" w:fill="E6E6E6"/>
      </w:rPr>
      <w:fldChar w:fldCharType="separate"/>
    </w:r>
    <w:r w:rsidR="00E24956">
      <w:rPr>
        <w:noProof/>
      </w:rPr>
      <w:t>17</w:t>
    </w:r>
    <w:r w:rsidR="00E24956" w:rsidRPr="0031753A">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E9E7" w14:textId="77777777" w:rsidR="00E24956" w:rsidRPr="001A7E04" w:rsidRDefault="00E24956"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1F03" w14:textId="77777777" w:rsidR="00444DC2" w:rsidRDefault="00444DC2">
      <w:r>
        <w:separator/>
      </w:r>
    </w:p>
  </w:footnote>
  <w:footnote w:type="continuationSeparator" w:id="0">
    <w:p w14:paraId="410A9BCA" w14:textId="77777777" w:rsidR="00444DC2" w:rsidRDefault="00444DC2">
      <w:r>
        <w:continuationSeparator/>
      </w:r>
    </w:p>
  </w:footnote>
  <w:footnote w:type="continuationNotice" w:id="1">
    <w:p w14:paraId="6D135BBF" w14:textId="77777777" w:rsidR="00444DC2" w:rsidRDefault="00444DC2"/>
  </w:footnote>
  <w:footnote w:id="2">
    <w:p w14:paraId="7EDE08A9" w14:textId="6A66579E" w:rsidR="00E24956" w:rsidRPr="00FA2CC2" w:rsidRDefault="00E24956" w:rsidP="00003734">
      <w:pPr>
        <w:pStyle w:val="FootnoteText"/>
        <w:ind w:right="-547"/>
        <w:jc w:val="both"/>
        <w:rPr>
          <w:rFonts w:ascii="Verdana" w:hAnsi="Verdana"/>
        </w:rPr>
      </w:pPr>
      <w:r w:rsidRPr="00195143">
        <w:rPr>
          <w:rStyle w:val="FootnoteReference"/>
          <w:rFonts w:ascii="Verdana" w:hAnsi="Verdana"/>
        </w:rPr>
        <w:footnoteRef/>
      </w:r>
      <w:r w:rsidRPr="001322A0">
        <w:rPr>
          <w:rFonts w:ascii="Verdana" w:hAnsi="Verdana"/>
        </w:rPr>
        <w:t xml:space="preserve"> </w:t>
      </w:r>
      <w:r w:rsidR="00832F34">
        <w:rPr>
          <w:rFonts w:ascii="Verdana" w:hAnsi="Verdana"/>
        </w:rPr>
        <w:t>Australian Government</w:t>
      </w:r>
      <w:r w:rsidR="00B326B1">
        <w:rPr>
          <w:rFonts w:ascii="Verdana" w:hAnsi="Verdana"/>
        </w:rPr>
        <w:t xml:space="preserve">, </w:t>
      </w:r>
      <w:hyperlink r:id="rId1" w:history="1">
        <w:r w:rsidR="00FA2CC2" w:rsidRPr="004C6D5F">
          <w:rPr>
            <w:rStyle w:val="Hyperlink"/>
            <w:rFonts w:ascii="Verdana" w:hAnsi="Verdana"/>
            <w:i/>
            <w:iCs/>
          </w:rPr>
          <w:t>Australian Government intellectual property manual</w:t>
        </w:r>
      </w:hyperlink>
      <w:r w:rsidR="00FA2CC2" w:rsidRPr="00FA2CC2">
        <w:rPr>
          <w:rFonts w:ascii="Verdana" w:hAnsi="Verdana"/>
          <w:i/>
          <w:iCs/>
        </w:rPr>
        <w:t xml:space="preserve"> </w:t>
      </w:r>
      <w:r w:rsidRPr="001322A0">
        <w:rPr>
          <w:rFonts w:ascii="Verdana" w:hAnsi="Verdana"/>
        </w:rPr>
        <w:t>(20</w:t>
      </w:r>
      <w:r w:rsidR="00FA2CC2">
        <w:rPr>
          <w:rFonts w:ascii="Verdana" w:hAnsi="Verdana"/>
        </w:rPr>
        <w:t>18</w:t>
      </w:r>
      <w:r w:rsidRPr="001322A0">
        <w:rPr>
          <w:rFonts w:ascii="Verdana" w:hAnsi="Verdana"/>
        </w:rPr>
        <w:t>).</w:t>
      </w:r>
    </w:p>
  </w:footnote>
  <w:footnote w:id="3">
    <w:p w14:paraId="299B22F3" w14:textId="77777777" w:rsidR="00E24956" w:rsidRPr="001322A0" w:rsidRDefault="00E24956" w:rsidP="00003734">
      <w:pPr>
        <w:pStyle w:val="FootnoteText"/>
        <w:ind w:right="-547"/>
        <w:rPr>
          <w:rFonts w:ascii="Verdana" w:hAnsi="Verdana"/>
        </w:rPr>
      </w:pPr>
      <w:r w:rsidRPr="00195143">
        <w:rPr>
          <w:rStyle w:val="FootnoteReference"/>
          <w:rFonts w:ascii="Verdana" w:hAnsi="Verdana"/>
        </w:rPr>
        <w:footnoteRef/>
      </w:r>
      <w:r w:rsidRPr="00195143">
        <w:rPr>
          <w:rFonts w:ascii="Verdana" w:hAnsi="Verdana"/>
        </w:rPr>
        <w:t xml:space="preserve"> </w:t>
      </w:r>
      <w:r w:rsidRPr="001322A0">
        <w:rPr>
          <w:rFonts w:ascii="Verdana" w:hAnsi="Verdana"/>
        </w:rPr>
        <w:t>Intellectual property relevant to the funded research, which was in existence prior to the Victorian Cancer Agency grant.</w:t>
      </w:r>
    </w:p>
  </w:footnote>
  <w:footnote w:id="4">
    <w:p w14:paraId="3F989341" w14:textId="77777777" w:rsidR="00E24956" w:rsidRPr="001322A0" w:rsidRDefault="00E24956" w:rsidP="00003734">
      <w:pPr>
        <w:pStyle w:val="DHSText12pt"/>
        <w:widowControl/>
        <w:overflowPunct/>
        <w:autoSpaceDE/>
        <w:autoSpaceDN/>
        <w:adjustRightInd/>
        <w:ind w:right="-547"/>
        <w:jc w:val="both"/>
        <w:textAlignment w:val="auto"/>
        <w:rPr>
          <w:rFonts w:ascii="Verdana" w:hAnsi="Verdana"/>
          <w:sz w:val="16"/>
          <w:szCs w:val="16"/>
        </w:rPr>
      </w:pPr>
      <w:r w:rsidRPr="00195143">
        <w:rPr>
          <w:rStyle w:val="FootnoteReference"/>
          <w:rFonts w:ascii="Verdana" w:hAnsi="Verdana"/>
          <w:sz w:val="20"/>
        </w:rPr>
        <w:footnoteRef/>
      </w:r>
      <w:r w:rsidRPr="00195143">
        <w:rPr>
          <w:rFonts w:ascii="Verdana" w:hAnsi="Verdana"/>
          <w:sz w:val="20"/>
        </w:rPr>
        <w:t xml:space="preserve"> </w:t>
      </w:r>
      <w:r w:rsidRPr="001322A0">
        <w:rPr>
          <w:rFonts w:ascii="Verdana" w:hAnsi="Verdana"/>
          <w:sz w:val="16"/>
          <w:szCs w:val="16"/>
        </w:rPr>
        <w:t xml:space="preserve">In a manner that ensures fair access to the Victorian public to </w:t>
      </w:r>
      <w:r w:rsidRPr="001322A0">
        <w:rPr>
          <w:rFonts w:ascii="Verdana" w:hAnsi="Verdana"/>
          <w:sz w:val="16"/>
          <w:szCs w:val="16"/>
          <w:lang w:val="en"/>
        </w:rPr>
        <w:t>knowledge, techniques, products or other benefits which stem directly or indirectly from funded research.</w:t>
      </w:r>
    </w:p>
  </w:footnote>
  <w:footnote w:id="5">
    <w:p w14:paraId="5B55E952" w14:textId="07EB31A6" w:rsidR="00E24956" w:rsidRPr="001322A0" w:rsidRDefault="00E24956" w:rsidP="00003734">
      <w:pPr>
        <w:pStyle w:val="FootnoteText"/>
        <w:ind w:right="-547"/>
        <w:jc w:val="both"/>
        <w:rPr>
          <w:rFonts w:ascii="Verdana" w:hAnsi="Verdana"/>
        </w:rPr>
      </w:pPr>
      <w:r w:rsidRPr="00195143">
        <w:rPr>
          <w:rStyle w:val="FootnoteReference"/>
          <w:rFonts w:ascii="Verdana" w:hAnsi="Verdana"/>
        </w:rPr>
        <w:footnoteRef/>
      </w:r>
      <w:r w:rsidRPr="00195143">
        <w:rPr>
          <w:rFonts w:ascii="Verdana" w:hAnsi="Verdana"/>
        </w:rPr>
        <w:t xml:space="preserve"> </w:t>
      </w:r>
      <w:r w:rsidRPr="001322A0">
        <w:rPr>
          <w:rFonts w:ascii="Verdana" w:hAnsi="Verdana"/>
        </w:rPr>
        <w:t xml:space="preserve">Where, for example, evidence is made available to the Victorian Cancer Agency that a </w:t>
      </w:r>
      <w:proofErr w:type="gramStart"/>
      <w:r w:rsidRPr="001322A0">
        <w:rPr>
          <w:rFonts w:ascii="Verdana" w:hAnsi="Verdana"/>
        </w:rPr>
        <w:t>third-party</w:t>
      </w:r>
      <w:r w:rsidR="004C6FC4">
        <w:rPr>
          <w:rFonts w:ascii="Verdana" w:hAnsi="Verdana"/>
        </w:rPr>
        <w:t xml:space="preserve"> </w:t>
      </w:r>
      <w:r w:rsidRPr="001322A0">
        <w:rPr>
          <w:rFonts w:ascii="Verdana" w:hAnsi="Verdana"/>
        </w:rPr>
        <w:t>desires</w:t>
      </w:r>
      <w:proofErr w:type="gramEnd"/>
      <w:r w:rsidRPr="001322A0">
        <w:rPr>
          <w:rFonts w:ascii="Verdana" w:hAnsi="Verdana"/>
        </w:rPr>
        <w:t xml:space="preserve"> to undertake commercialisation of the Intellectual Property, but considers that the State’s right to invoke such a licence is an impediment to commercialisation.</w:t>
      </w:r>
    </w:p>
  </w:footnote>
  <w:footnote w:id="6">
    <w:p w14:paraId="355E88F4" w14:textId="0F1BA17B" w:rsidR="004851BF" w:rsidRDefault="004851BF">
      <w:pPr>
        <w:pStyle w:val="FootnoteText"/>
      </w:pPr>
      <w:r>
        <w:rPr>
          <w:rStyle w:val="FootnoteReference"/>
        </w:rPr>
        <w:footnoteRef/>
      </w:r>
      <w:r>
        <w:t xml:space="preserve"> </w:t>
      </w:r>
      <w:r w:rsidRPr="004851BF">
        <w:t xml:space="preserve">  South Australian Health and Medical Research Institute, Position Statement Community and Consumer Engagement in Research at SAHMRI</w:t>
      </w:r>
      <w:r w:rsidR="00836ABE">
        <w:t>,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C195" w14:textId="77777777" w:rsidR="00E24956" w:rsidRPr="0069374A" w:rsidRDefault="00E24956"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1085" w14:textId="77777777" w:rsidR="00E24956" w:rsidRDefault="00E24956"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DD"/>
    <w:multiLevelType w:val="hybridMultilevel"/>
    <w:tmpl w:val="20C0D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F34A3"/>
    <w:multiLevelType w:val="hybridMultilevel"/>
    <w:tmpl w:val="292A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06747"/>
    <w:multiLevelType w:val="hybridMultilevel"/>
    <w:tmpl w:val="C33678B2"/>
    <w:lvl w:ilvl="0" w:tplc="DEE8F8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370B76"/>
    <w:multiLevelType w:val="hybridMultilevel"/>
    <w:tmpl w:val="B130F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66147"/>
    <w:multiLevelType w:val="hybridMultilevel"/>
    <w:tmpl w:val="656C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66C1F"/>
    <w:multiLevelType w:val="hybridMultilevel"/>
    <w:tmpl w:val="51D6D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51FC9"/>
    <w:multiLevelType w:val="hybridMultilevel"/>
    <w:tmpl w:val="440E4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745D6"/>
    <w:multiLevelType w:val="hybridMultilevel"/>
    <w:tmpl w:val="C472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5292D"/>
    <w:multiLevelType w:val="hybridMultilevel"/>
    <w:tmpl w:val="3F32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6691C"/>
    <w:multiLevelType w:val="hybridMultilevel"/>
    <w:tmpl w:val="6A4C7A10"/>
    <w:lvl w:ilvl="0" w:tplc="0C090001">
      <w:start w:val="1"/>
      <w:numFmt w:val="bullet"/>
      <w:lvlText w:val=""/>
      <w:lvlJc w:val="left"/>
      <w:pPr>
        <w:ind w:left="720" w:hanging="360"/>
      </w:pPr>
      <w:rPr>
        <w:rFonts w:ascii="Symbol" w:hAnsi="Symbol" w:hint="default"/>
      </w:rPr>
    </w:lvl>
    <w:lvl w:ilvl="1" w:tplc="EB98CFC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F5988"/>
    <w:multiLevelType w:val="hybridMultilevel"/>
    <w:tmpl w:val="FFFFFFFF"/>
    <w:lvl w:ilvl="0" w:tplc="DEE8F808">
      <w:start w:val="1"/>
      <w:numFmt w:val="bullet"/>
      <w:lvlText w:val=""/>
      <w:lvlJc w:val="left"/>
      <w:pPr>
        <w:ind w:left="720" w:hanging="360"/>
      </w:pPr>
      <w:rPr>
        <w:rFonts w:ascii="Symbol" w:hAnsi="Symbol" w:hint="default"/>
      </w:rPr>
    </w:lvl>
    <w:lvl w:ilvl="1" w:tplc="0EC87CF0">
      <w:start w:val="1"/>
      <w:numFmt w:val="bullet"/>
      <w:lvlText w:val="o"/>
      <w:lvlJc w:val="left"/>
      <w:pPr>
        <w:ind w:left="1440" w:hanging="360"/>
      </w:pPr>
      <w:rPr>
        <w:rFonts w:ascii="Courier New" w:hAnsi="Courier New" w:hint="default"/>
      </w:rPr>
    </w:lvl>
    <w:lvl w:ilvl="2" w:tplc="A978CCEC">
      <w:start w:val="1"/>
      <w:numFmt w:val="bullet"/>
      <w:lvlText w:val=""/>
      <w:lvlJc w:val="left"/>
      <w:pPr>
        <w:ind w:left="2160" w:hanging="360"/>
      </w:pPr>
      <w:rPr>
        <w:rFonts w:ascii="Wingdings" w:hAnsi="Wingdings" w:hint="default"/>
      </w:rPr>
    </w:lvl>
    <w:lvl w:ilvl="3" w:tplc="3258B9C2">
      <w:start w:val="1"/>
      <w:numFmt w:val="bullet"/>
      <w:lvlText w:val=""/>
      <w:lvlJc w:val="left"/>
      <w:pPr>
        <w:ind w:left="2880" w:hanging="360"/>
      </w:pPr>
      <w:rPr>
        <w:rFonts w:ascii="Symbol" w:hAnsi="Symbol" w:hint="default"/>
      </w:rPr>
    </w:lvl>
    <w:lvl w:ilvl="4" w:tplc="F45892A0">
      <w:start w:val="1"/>
      <w:numFmt w:val="bullet"/>
      <w:lvlText w:val="o"/>
      <w:lvlJc w:val="left"/>
      <w:pPr>
        <w:ind w:left="3600" w:hanging="360"/>
      </w:pPr>
      <w:rPr>
        <w:rFonts w:ascii="Courier New" w:hAnsi="Courier New" w:hint="default"/>
      </w:rPr>
    </w:lvl>
    <w:lvl w:ilvl="5" w:tplc="A0A68DA0">
      <w:start w:val="1"/>
      <w:numFmt w:val="bullet"/>
      <w:lvlText w:val=""/>
      <w:lvlJc w:val="left"/>
      <w:pPr>
        <w:ind w:left="4320" w:hanging="360"/>
      </w:pPr>
      <w:rPr>
        <w:rFonts w:ascii="Wingdings" w:hAnsi="Wingdings" w:hint="default"/>
      </w:rPr>
    </w:lvl>
    <w:lvl w:ilvl="6" w:tplc="AA9A4600">
      <w:start w:val="1"/>
      <w:numFmt w:val="bullet"/>
      <w:lvlText w:val=""/>
      <w:lvlJc w:val="left"/>
      <w:pPr>
        <w:ind w:left="5040" w:hanging="360"/>
      </w:pPr>
      <w:rPr>
        <w:rFonts w:ascii="Symbol" w:hAnsi="Symbol" w:hint="default"/>
      </w:rPr>
    </w:lvl>
    <w:lvl w:ilvl="7" w:tplc="EB78D980">
      <w:start w:val="1"/>
      <w:numFmt w:val="bullet"/>
      <w:lvlText w:val="o"/>
      <w:lvlJc w:val="left"/>
      <w:pPr>
        <w:ind w:left="5760" w:hanging="360"/>
      </w:pPr>
      <w:rPr>
        <w:rFonts w:ascii="Courier New" w:hAnsi="Courier New" w:hint="default"/>
      </w:rPr>
    </w:lvl>
    <w:lvl w:ilvl="8" w:tplc="AD44B97A">
      <w:start w:val="1"/>
      <w:numFmt w:val="bullet"/>
      <w:lvlText w:val=""/>
      <w:lvlJc w:val="left"/>
      <w:pPr>
        <w:ind w:left="6480" w:hanging="360"/>
      </w:pPr>
      <w:rPr>
        <w:rFonts w:ascii="Wingdings" w:hAnsi="Wingdings" w:hint="default"/>
      </w:rPr>
    </w:lvl>
  </w:abstractNum>
  <w:abstractNum w:abstractNumId="12" w15:restartNumberingAfterBreak="0">
    <w:nsid w:val="289D4017"/>
    <w:multiLevelType w:val="hybridMultilevel"/>
    <w:tmpl w:val="D28A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E1D3E"/>
    <w:multiLevelType w:val="hybridMultilevel"/>
    <w:tmpl w:val="06FC478C"/>
    <w:lvl w:ilvl="0" w:tplc="0C090001">
      <w:start w:val="1"/>
      <w:numFmt w:val="bullet"/>
      <w:lvlText w:val=""/>
      <w:lvlJc w:val="left"/>
      <w:pPr>
        <w:ind w:left="720" w:hanging="360"/>
      </w:pPr>
      <w:rPr>
        <w:rFonts w:ascii="Symbol" w:hAnsi="Symbol" w:hint="default"/>
      </w:rPr>
    </w:lvl>
    <w:lvl w:ilvl="1" w:tplc="EB98CFC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22D03"/>
    <w:multiLevelType w:val="hybridMultilevel"/>
    <w:tmpl w:val="AF9229D6"/>
    <w:lvl w:ilvl="0" w:tplc="44AAA1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3D5"/>
    <w:multiLevelType w:val="hybridMultilevel"/>
    <w:tmpl w:val="70E68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CD47B2"/>
    <w:multiLevelType w:val="hybridMultilevel"/>
    <w:tmpl w:val="9CF8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6D46AE"/>
    <w:multiLevelType w:val="hybridMultilevel"/>
    <w:tmpl w:val="FFFFFFFF"/>
    <w:lvl w:ilvl="0" w:tplc="FFFFFFFF">
      <w:start w:val="1"/>
      <w:numFmt w:val="bullet"/>
      <w:lvlText w:val=""/>
      <w:lvlJc w:val="left"/>
      <w:pPr>
        <w:ind w:left="720" w:hanging="360"/>
      </w:pPr>
      <w:rPr>
        <w:rFonts w:ascii="Symbol" w:hAnsi="Symbol" w:hint="default"/>
      </w:rPr>
    </w:lvl>
    <w:lvl w:ilvl="1" w:tplc="E9B21742">
      <w:start w:val="1"/>
      <w:numFmt w:val="bullet"/>
      <w:lvlText w:val="o"/>
      <w:lvlJc w:val="left"/>
      <w:pPr>
        <w:ind w:left="1440" w:hanging="360"/>
      </w:pPr>
      <w:rPr>
        <w:rFonts w:ascii="Courier New" w:hAnsi="Courier New" w:hint="default"/>
      </w:rPr>
    </w:lvl>
    <w:lvl w:ilvl="2" w:tplc="7C82F432">
      <w:start w:val="1"/>
      <w:numFmt w:val="bullet"/>
      <w:lvlText w:val=""/>
      <w:lvlJc w:val="left"/>
      <w:pPr>
        <w:ind w:left="2160" w:hanging="360"/>
      </w:pPr>
      <w:rPr>
        <w:rFonts w:ascii="Wingdings" w:hAnsi="Wingdings" w:hint="default"/>
      </w:rPr>
    </w:lvl>
    <w:lvl w:ilvl="3" w:tplc="C8088890">
      <w:start w:val="1"/>
      <w:numFmt w:val="bullet"/>
      <w:lvlText w:val=""/>
      <w:lvlJc w:val="left"/>
      <w:pPr>
        <w:ind w:left="2880" w:hanging="360"/>
      </w:pPr>
      <w:rPr>
        <w:rFonts w:ascii="Symbol" w:hAnsi="Symbol" w:hint="default"/>
      </w:rPr>
    </w:lvl>
    <w:lvl w:ilvl="4" w:tplc="85A0AE12">
      <w:start w:val="1"/>
      <w:numFmt w:val="bullet"/>
      <w:lvlText w:val="o"/>
      <w:lvlJc w:val="left"/>
      <w:pPr>
        <w:ind w:left="3600" w:hanging="360"/>
      </w:pPr>
      <w:rPr>
        <w:rFonts w:ascii="Courier New" w:hAnsi="Courier New" w:hint="default"/>
      </w:rPr>
    </w:lvl>
    <w:lvl w:ilvl="5" w:tplc="8A42AD84">
      <w:start w:val="1"/>
      <w:numFmt w:val="bullet"/>
      <w:lvlText w:val=""/>
      <w:lvlJc w:val="left"/>
      <w:pPr>
        <w:ind w:left="4320" w:hanging="360"/>
      </w:pPr>
      <w:rPr>
        <w:rFonts w:ascii="Wingdings" w:hAnsi="Wingdings" w:hint="default"/>
      </w:rPr>
    </w:lvl>
    <w:lvl w:ilvl="6" w:tplc="51D6E69C">
      <w:start w:val="1"/>
      <w:numFmt w:val="bullet"/>
      <w:lvlText w:val=""/>
      <w:lvlJc w:val="left"/>
      <w:pPr>
        <w:ind w:left="5040" w:hanging="360"/>
      </w:pPr>
      <w:rPr>
        <w:rFonts w:ascii="Symbol" w:hAnsi="Symbol" w:hint="default"/>
      </w:rPr>
    </w:lvl>
    <w:lvl w:ilvl="7" w:tplc="A1803EF4">
      <w:start w:val="1"/>
      <w:numFmt w:val="bullet"/>
      <w:lvlText w:val="o"/>
      <w:lvlJc w:val="left"/>
      <w:pPr>
        <w:ind w:left="5760" w:hanging="360"/>
      </w:pPr>
      <w:rPr>
        <w:rFonts w:ascii="Courier New" w:hAnsi="Courier New" w:hint="default"/>
      </w:rPr>
    </w:lvl>
    <w:lvl w:ilvl="8" w:tplc="7C8C92D4">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D31399"/>
    <w:multiLevelType w:val="hybridMultilevel"/>
    <w:tmpl w:val="FFFFFFFF"/>
    <w:lvl w:ilvl="0" w:tplc="017EB38E">
      <w:start w:val="1"/>
      <w:numFmt w:val="bullet"/>
      <w:lvlText w:val=""/>
      <w:lvlJc w:val="left"/>
      <w:pPr>
        <w:ind w:left="720" w:hanging="360"/>
      </w:pPr>
      <w:rPr>
        <w:rFonts w:ascii="Symbol" w:hAnsi="Symbol" w:hint="default"/>
      </w:rPr>
    </w:lvl>
    <w:lvl w:ilvl="1" w:tplc="E3FCE836">
      <w:start w:val="1"/>
      <w:numFmt w:val="bullet"/>
      <w:lvlText w:val="o"/>
      <w:lvlJc w:val="left"/>
      <w:pPr>
        <w:ind w:left="1440" w:hanging="360"/>
      </w:pPr>
      <w:rPr>
        <w:rFonts w:ascii="Courier New" w:hAnsi="Courier New" w:hint="default"/>
      </w:rPr>
    </w:lvl>
    <w:lvl w:ilvl="2" w:tplc="14764FAA">
      <w:start w:val="1"/>
      <w:numFmt w:val="bullet"/>
      <w:lvlText w:val=""/>
      <w:lvlJc w:val="left"/>
      <w:pPr>
        <w:ind w:left="2160" w:hanging="360"/>
      </w:pPr>
      <w:rPr>
        <w:rFonts w:ascii="Wingdings" w:hAnsi="Wingdings" w:hint="default"/>
      </w:rPr>
    </w:lvl>
    <w:lvl w:ilvl="3" w:tplc="8320E7E8">
      <w:start w:val="1"/>
      <w:numFmt w:val="bullet"/>
      <w:lvlText w:val=""/>
      <w:lvlJc w:val="left"/>
      <w:pPr>
        <w:ind w:left="2880" w:hanging="360"/>
      </w:pPr>
      <w:rPr>
        <w:rFonts w:ascii="Symbol" w:hAnsi="Symbol" w:hint="default"/>
      </w:rPr>
    </w:lvl>
    <w:lvl w:ilvl="4" w:tplc="3976C102">
      <w:start w:val="1"/>
      <w:numFmt w:val="bullet"/>
      <w:lvlText w:val="o"/>
      <w:lvlJc w:val="left"/>
      <w:pPr>
        <w:ind w:left="3600" w:hanging="360"/>
      </w:pPr>
      <w:rPr>
        <w:rFonts w:ascii="Courier New" w:hAnsi="Courier New" w:hint="default"/>
      </w:rPr>
    </w:lvl>
    <w:lvl w:ilvl="5" w:tplc="E88CF9B6">
      <w:start w:val="1"/>
      <w:numFmt w:val="bullet"/>
      <w:lvlText w:val=""/>
      <w:lvlJc w:val="left"/>
      <w:pPr>
        <w:ind w:left="4320" w:hanging="360"/>
      </w:pPr>
      <w:rPr>
        <w:rFonts w:ascii="Wingdings" w:hAnsi="Wingdings" w:hint="default"/>
      </w:rPr>
    </w:lvl>
    <w:lvl w:ilvl="6" w:tplc="5330EEEC">
      <w:start w:val="1"/>
      <w:numFmt w:val="bullet"/>
      <w:lvlText w:val=""/>
      <w:lvlJc w:val="left"/>
      <w:pPr>
        <w:ind w:left="5040" w:hanging="360"/>
      </w:pPr>
      <w:rPr>
        <w:rFonts w:ascii="Symbol" w:hAnsi="Symbol" w:hint="default"/>
      </w:rPr>
    </w:lvl>
    <w:lvl w:ilvl="7" w:tplc="66F0949A">
      <w:start w:val="1"/>
      <w:numFmt w:val="bullet"/>
      <w:lvlText w:val="o"/>
      <w:lvlJc w:val="left"/>
      <w:pPr>
        <w:ind w:left="5760" w:hanging="360"/>
      </w:pPr>
      <w:rPr>
        <w:rFonts w:ascii="Courier New" w:hAnsi="Courier New" w:hint="default"/>
      </w:rPr>
    </w:lvl>
    <w:lvl w:ilvl="8" w:tplc="4AD8A9B6">
      <w:start w:val="1"/>
      <w:numFmt w:val="bullet"/>
      <w:lvlText w:val=""/>
      <w:lvlJc w:val="left"/>
      <w:pPr>
        <w:ind w:left="6480" w:hanging="360"/>
      </w:pPr>
      <w:rPr>
        <w:rFonts w:ascii="Wingdings" w:hAnsi="Wingdings" w:hint="default"/>
      </w:rPr>
    </w:lvl>
  </w:abstractNum>
  <w:abstractNum w:abstractNumId="20" w15:restartNumberingAfterBreak="0">
    <w:nsid w:val="3E190E84"/>
    <w:multiLevelType w:val="hybridMultilevel"/>
    <w:tmpl w:val="B4A2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74C6E26"/>
    <w:multiLevelType w:val="hybridMultilevel"/>
    <w:tmpl w:val="FFFFFFFF"/>
    <w:lvl w:ilvl="0" w:tplc="E2FC695C">
      <w:start w:val="1"/>
      <w:numFmt w:val="bullet"/>
      <w:lvlText w:val="·"/>
      <w:lvlJc w:val="left"/>
      <w:pPr>
        <w:ind w:left="720" w:hanging="360"/>
      </w:pPr>
      <w:rPr>
        <w:rFonts w:ascii="Symbol" w:hAnsi="Symbol" w:hint="default"/>
      </w:rPr>
    </w:lvl>
    <w:lvl w:ilvl="1" w:tplc="867A8D76">
      <w:start w:val="1"/>
      <w:numFmt w:val="bullet"/>
      <w:lvlText w:val="o"/>
      <w:lvlJc w:val="left"/>
      <w:pPr>
        <w:ind w:left="1440" w:hanging="360"/>
      </w:pPr>
      <w:rPr>
        <w:rFonts w:ascii="Courier New" w:hAnsi="Courier New" w:hint="default"/>
      </w:rPr>
    </w:lvl>
    <w:lvl w:ilvl="2" w:tplc="763C580C">
      <w:start w:val="1"/>
      <w:numFmt w:val="bullet"/>
      <w:lvlText w:val=""/>
      <w:lvlJc w:val="left"/>
      <w:pPr>
        <w:ind w:left="2160" w:hanging="360"/>
      </w:pPr>
      <w:rPr>
        <w:rFonts w:ascii="Wingdings" w:hAnsi="Wingdings" w:hint="default"/>
      </w:rPr>
    </w:lvl>
    <w:lvl w:ilvl="3" w:tplc="3336E7D6">
      <w:start w:val="1"/>
      <w:numFmt w:val="bullet"/>
      <w:lvlText w:val=""/>
      <w:lvlJc w:val="left"/>
      <w:pPr>
        <w:ind w:left="2880" w:hanging="360"/>
      </w:pPr>
      <w:rPr>
        <w:rFonts w:ascii="Symbol" w:hAnsi="Symbol" w:hint="default"/>
      </w:rPr>
    </w:lvl>
    <w:lvl w:ilvl="4" w:tplc="96C80B0E">
      <w:start w:val="1"/>
      <w:numFmt w:val="bullet"/>
      <w:lvlText w:val="o"/>
      <w:lvlJc w:val="left"/>
      <w:pPr>
        <w:ind w:left="3600" w:hanging="360"/>
      </w:pPr>
      <w:rPr>
        <w:rFonts w:ascii="Courier New" w:hAnsi="Courier New" w:hint="default"/>
      </w:rPr>
    </w:lvl>
    <w:lvl w:ilvl="5" w:tplc="52C6E544">
      <w:start w:val="1"/>
      <w:numFmt w:val="bullet"/>
      <w:lvlText w:val=""/>
      <w:lvlJc w:val="left"/>
      <w:pPr>
        <w:ind w:left="4320" w:hanging="360"/>
      </w:pPr>
      <w:rPr>
        <w:rFonts w:ascii="Wingdings" w:hAnsi="Wingdings" w:hint="default"/>
      </w:rPr>
    </w:lvl>
    <w:lvl w:ilvl="6" w:tplc="21342E58">
      <w:start w:val="1"/>
      <w:numFmt w:val="bullet"/>
      <w:lvlText w:val=""/>
      <w:lvlJc w:val="left"/>
      <w:pPr>
        <w:ind w:left="5040" w:hanging="360"/>
      </w:pPr>
      <w:rPr>
        <w:rFonts w:ascii="Symbol" w:hAnsi="Symbol" w:hint="default"/>
      </w:rPr>
    </w:lvl>
    <w:lvl w:ilvl="7" w:tplc="5B0405D2">
      <w:start w:val="1"/>
      <w:numFmt w:val="bullet"/>
      <w:lvlText w:val="o"/>
      <w:lvlJc w:val="left"/>
      <w:pPr>
        <w:ind w:left="5760" w:hanging="360"/>
      </w:pPr>
      <w:rPr>
        <w:rFonts w:ascii="Courier New" w:hAnsi="Courier New" w:hint="default"/>
      </w:rPr>
    </w:lvl>
    <w:lvl w:ilvl="8" w:tplc="A6883C30">
      <w:start w:val="1"/>
      <w:numFmt w:val="bullet"/>
      <w:lvlText w:val=""/>
      <w:lvlJc w:val="left"/>
      <w:pPr>
        <w:ind w:left="6480" w:hanging="360"/>
      </w:pPr>
      <w:rPr>
        <w:rFonts w:ascii="Wingdings" w:hAnsi="Wingdings" w:hint="default"/>
      </w:rPr>
    </w:lvl>
  </w:abstractNum>
  <w:abstractNum w:abstractNumId="24" w15:restartNumberingAfterBreak="0">
    <w:nsid w:val="499F2099"/>
    <w:multiLevelType w:val="hybridMultilevel"/>
    <w:tmpl w:val="771E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146B33"/>
    <w:multiLevelType w:val="hybridMultilevel"/>
    <w:tmpl w:val="C828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0127BE"/>
    <w:multiLevelType w:val="hybridMultilevel"/>
    <w:tmpl w:val="C7861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83221FF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A082526"/>
    <w:multiLevelType w:val="hybridMultilevel"/>
    <w:tmpl w:val="B0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313E92"/>
    <w:multiLevelType w:val="hybridMultilevel"/>
    <w:tmpl w:val="533E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5A377DF"/>
    <w:multiLevelType w:val="hybridMultilevel"/>
    <w:tmpl w:val="CB08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221AAA"/>
    <w:multiLevelType w:val="hybridMultilevel"/>
    <w:tmpl w:val="363C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8B71A0"/>
    <w:multiLevelType w:val="hybridMultilevel"/>
    <w:tmpl w:val="95160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46682"/>
    <w:multiLevelType w:val="hybridMultilevel"/>
    <w:tmpl w:val="FFFFFFFF"/>
    <w:lvl w:ilvl="0" w:tplc="A9324F42">
      <w:start w:val="1"/>
      <w:numFmt w:val="bullet"/>
      <w:lvlText w:val=""/>
      <w:lvlJc w:val="left"/>
      <w:pPr>
        <w:ind w:left="720" w:hanging="360"/>
      </w:pPr>
      <w:rPr>
        <w:rFonts w:ascii="Symbol" w:hAnsi="Symbol" w:hint="default"/>
      </w:rPr>
    </w:lvl>
    <w:lvl w:ilvl="1" w:tplc="E6DC466E">
      <w:start w:val="1"/>
      <w:numFmt w:val="bullet"/>
      <w:lvlText w:val="o"/>
      <w:lvlJc w:val="left"/>
      <w:pPr>
        <w:ind w:left="1440" w:hanging="360"/>
      </w:pPr>
      <w:rPr>
        <w:rFonts w:ascii="Courier New" w:hAnsi="Courier New" w:hint="default"/>
      </w:rPr>
    </w:lvl>
    <w:lvl w:ilvl="2" w:tplc="6A12BE40">
      <w:start w:val="1"/>
      <w:numFmt w:val="bullet"/>
      <w:lvlText w:val=""/>
      <w:lvlJc w:val="left"/>
      <w:pPr>
        <w:ind w:left="2160" w:hanging="360"/>
      </w:pPr>
      <w:rPr>
        <w:rFonts w:ascii="Wingdings" w:hAnsi="Wingdings" w:hint="default"/>
      </w:rPr>
    </w:lvl>
    <w:lvl w:ilvl="3" w:tplc="3D180B8E">
      <w:start w:val="1"/>
      <w:numFmt w:val="bullet"/>
      <w:lvlText w:val=""/>
      <w:lvlJc w:val="left"/>
      <w:pPr>
        <w:ind w:left="2880" w:hanging="360"/>
      </w:pPr>
      <w:rPr>
        <w:rFonts w:ascii="Symbol" w:hAnsi="Symbol" w:hint="default"/>
      </w:rPr>
    </w:lvl>
    <w:lvl w:ilvl="4" w:tplc="A8960FC0">
      <w:start w:val="1"/>
      <w:numFmt w:val="bullet"/>
      <w:lvlText w:val="o"/>
      <w:lvlJc w:val="left"/>
      <w:pPr>
        <w:ind w:left="3600" w:hanging="360"/>
      </w:pPr>
      <w:rPr>
        <w:rFonts w:ascii="Courier New" w:hAnsi="Courier New" w:hint="default"/>
      </w:rPr>
    </w:lvl>
    <w:lvl w:ilvl="5" w:tplc="AB08E28C">
      <w:start w:val="1"/>
      <w:numFmt w:val="bullet"/>
      <w:lvlText w:val=""/>
      <w:lvlJc w:val="left"/>
      <w:pPr>
        <w:ind w:left="4320" w:hanging="360"/>
      </w:pPr>
      <w:rPr>
        <w:rFonts w:ascii="Wingdings" w:hAnsi="Wingdings" w:hint="default"/>
      </w:rPr>
    </w:lvl>
    <w:lvl w:ilvl="6" w:tplc="BCD01688">
      <w:start w:val="1"/>
      <w:numFmt w:val="bullet"/>
      <w:lvlText w:val=""/>
      <w:lvlJc w:val="left"/>
      <w:pPr>
        <w:ind w:left="5040" w:hanging="360"/>
      </w:pPr>
      <w:rPr>
        <w:rFonts w:ascii="Symbol" w:hAnsi="Symbol" w:hint="default"/>
      </w:rPr>
    </w:lvl>
    <w:lvl w:ilvl="7" w:tplc="AE629028">
      <w:start w:val="1"/>
      <w:numFmt w:val="bullet"/>
      <w:lvlText w:val="o"/>
      <w:lvlJc w:val="left"/>
      <w:pPr>
        <w:ind w:left="5760" w:hanging="360"/>
      </w:pPr>
      <w:rPr>
        <w:rFonts w:ascii="Courier New" w:hAnsi="Courier New" w:hint="default"/>
      </w:rPr>
    </w:lvl>
    <w:lvl w:ilvl="8" w:tplc="FB76874E">
      <w:start w:val="1"/>
      <w:numFmt w:val="bullet"/>
      <w:lvlText w:val=""/>
      <w:lvlJc w:val="left"/>
      <w:pPr>
        <w:ind w:left="6480" w:hanging="360"/>
      </w:pPr>
      <w:rPr>
        <w:rFonts w:ascii="Wingdings" w:hAnsi="Wingdings" w:hint="default"/>
      </w:rPr>
    </w:lvl>
  </w:abstractNum>
  <w:abstractNum w:abstractNumId="36" w15:restartNumberingAfterBreak="0">
    <w:nsid w:val="70B47B5A"/>
    <w:multiLevelType w:val="hybridMultilevel"/>
    <w:tmpl w:val="E5523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5E32C7"/>
    <w:multiLevelType w:val="hybridMultilevel"/>
    <w:tmpl w:val="347E43C2"/>
    <w:lvl w:ilvl="0" w:tplc="49FE1B30">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722081"/>
    <w:multiLevelType w:val="hybridMultilevel"/>
    <w:tmpl w:val="7ACC6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121721">
    <w:abstractNumId w:val="28"/>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16cid:durableId="1313288827">
    <w:abstractNumId w:val="21"/>
  </w:num>
  <w:num w:numId="3" w16cid:durableId="602302411">
    <w:abstractNumId w:val="18"/>
  </w:num>
  <w:num w:numId="4" w16cid:durableId="582104997">
    <w:abstractNumId w:val="3"/>
  </w:num>
  <w:num w:numId="5" w16cid:durableId="79063289">
    <w:abstractNumId w:val="22"/>
  </w:num>
  <w:num w:numId="6" w16cid:durableId="2144498400">
    <w:abstractNumId w:val="31"/>
  </w:num>
  <w:num w:numId="7" w16cid:durableId="898445840">
    <w:abstractNumId w:val="27"/>
  </w:num>
  <w:num w:numId="8" w16cid:durableId="27294011">
    <w:abstractNumId w:val="21"/>
  </w:num>
  <w:num w:numId="9" w16cid:durableId="1825394648">
    <w:abstractNumId w:val="3"/>
  </w:num>
  <w:num w:numId="10" w16cid:durableId="54739748">
    <w:abstractNumId w:val="31"/>
  </w:num>
  <w:num w:numId="11" w16cid:durableId="1058943565">
    <w:abstractNumId w:val="22"/>
  </w:num>
  <w:num w:numId="12" w16cid:durableId="1654867208">
    <w:abstractNumId w:val="27"/>
  </w:num>
  <w:num w:numId="13" w16cid:durableId="1759670394">
    <w:abstractNumId w:val="29"/>
  </w:num>
  <w:num w:numId="14" w16cid:durableId="1820686616">
    <w:abstractNumId w:val="16"/>
  </w:num>
  <w:num w:numId="15" w16cid:durableId="1202672219">
    <w:abstractNumId w:val="14"/>
  </w:num>
  <w:num w:numId="16" w16cid:durableId="769666111">
    <w:abstractNumId w:val="12"/>
  </w:num>
  <w:num w:numId="17" w16cid:durableId="937638567">
    <w:abstractNumId w:val="4"/>
  </w:num>
  <w:num w:numId="18" w16cid:durableId="1929538029">
    <w:abstractNumId w:val="25"/>
  </w:num>
  <w:num w:numId="19" w16cid:durableId="557284239">
    <w:abstractNumId w:val="1"/>
  </w:num>
  <w:num w:numId="20" w16cid:durableId="1131286245">
    <w:abstractNumId w:val="20"/>
  </w:num>
  <w:num w:numId="21" w16cid:durableId="1444375911">
    <w:abstractNumId w:val="26"/>
  </w:num>
  <w:num w:numId="22" w16cid:durableId="61145306">
    <w:abstractNumId w:val="36"/>
  </w:num>
  <w:num w:numId="23" w16cid:durableId="1029182050">
    <w:abstractNumId w:val="6"/>
  </w:num>
  <w:num w:numId="24" w16cid:durableId="1800611450">
    <w:abstractNumId w:val="30"/>
  </w:num>
  <w:num w:numId="25" w16cid:durableId="1444685565">
    <w:abstractNumId w:val="34"/>
  </w:num>
  <w:num w:numId="26" w16cid:durableId="180974755">
    <w:abstractNumId w:val="32"/>
  </w:num>
  <w:num w:numId="27" w16cid:durableId="72164075">
    <w:abstractNumId w:val="9"/>
  </w:num>
  <w:num w:numId="28" w16cid:durableId="247160676">
    <w:abstractNumId w:val="5"/>
  </w:num>
  <w:num w:numId="29" w16cid:durableId="1718701171">
    <w:abstractNumId w:val="15"/>
  </w:num>
  <w:num w:numId="30" w16cid:durableId="1571891023">
    <w:abstractNumId w:val="0"/>
  </w:num>
  <w:num w:numId="31" w16cid:durableId="316418843">
    <w:abstractNumId w:val="10"/>
  </w:num>
  <w:num w:numId="32" w16cid:durableId="811676877">
    <w:abstractNumId w:val="13"/>
  </w:num>
  <w:num w:numId="33" w16cid:durableId="405879309">
    <w:abstractNumId w:val="38"/>
  </w:num>
  <w:num w:numId="34" w16cid:durableId="877471650">
    <w:abstractNumId w:val="33"/>
  </w:num>
  <w:num w:numId="35" w16cid:durableId="1946694011">
    <w:abstractNumId w:val="28"/>
  </w:num>
  <w:num w:numId="36" w16cid:durableId="259797590">
    <w:abstractNumId w:val="7"/>
  </w:num>
  <w:num w:numId="37" w16cid:durableId="1420907386">
    <w:abstractNumId w:val="8"/>
  </w:num>
  <w:num w:numId="38" w16cid:durableId="284698904">
    <w:abstractNumId w:val="35"/>
  </w:num>
  <w:num w:numId="39" w16cid:durableId="67850980">
    <w:abstractNumId w:val="17"/>
  </w:num>
  <w:num w:numId="40" w16cid:durableId="503908395">
    <w:abstractNumId w:val="19"/>
  </w:num>
  <w:num w:numId="41" w16cid:durableId="165636306">
    <w:abstractNumId w:val="11"/>
  </w:num>
  <w:num w:numId="42" w16cid:durableId="1476020751">
    <w:abstractNumId w:val="37"/>
  </w:num>
  <w:num w:numId="43" w16cid:durableId="1861893692">
    <w:abstractNumId w:val="24"/>
  </w:num>
  <w:num w:numId="44" w16cid:durableId="301471730">
    <w:abstractNumId w:val="2"/>
  </w:num>
  <w:num w:numId="45" w16cid:durableId="278681616">
    <w:abstractNumId w:val="28"/>
    <w:lvlOverride w:ilvl="0">
      <w:lvl w:ilvl="0">
        <w:start w:val="1"/>
        <w:numFmt w:val="bullet"/>
        <w:pStyle w:val="DHHSbullet1"/>
        <w:lvlText w:val="•"/>
        <w:lvlJc w:val="left"/>
        <w:pPr>
          <w:ind w:left="284" w:hanging="284"/>
        </w:pPr>
        <w:rPr>
          <w:rFonts w:ascii="Calibri" w:hAnsi="Calibri" w:hint="default"/>
          <w:color w:val="auto"/>
        </w:rPr>
      </w:lvl>
    </w:lvlOverride>
  </w:num>
  <w:num w:numId="46" w16cid:durableId="42808694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BF"/>
    <w:rsid w:val="00002990"/>
    <w:rsid w:val="00003734"/>
    <w:rsid w:val="0000425F"/>
    <w:rsid w:val="000048AC"/>
    <w:rsid w:val="000051F4"/>
    <w:rsid w:val="000063CF"/>
    <w:rsid w:val="000064A5"/>
    <w:rsid w:val="000110D3"/>
    <w:rsid w:val="00011EA4"/>
    <w:rsid w:val="000122A6"/>
    <w:rsid w:val="00014FC4"/>
    <w:rsid w:val="0001724D"/>
    <w:rsid w:val="0001B1E0"/>
    <w:rsid w:val="00020AAB"/>
    <w:rsid w:val="00021EF7"/>
    <w:rsid w:val="000223A4"/>
    <w:rsid w:val="000224F7"/>
    <w:rsid w:val="00022CFB"/>
    <w:rsid w:val="00022E60"/>
    <w:rsid w:val="00024F22"/>
    <w:rsid w:val="00025326"/>
    <w:rsid w:val="0002580C"/>
    <w:rsid w:val="00025D71"/>
    <w:rsid w:val="00026BF2"/>
    <w:rsid w:val="00026C19"/>
    <w:rsid w:val="000279A3"/>
    <w:rsid w:val="00030145"/>
    <w:rsid w:val="00030B06"/>
    <w:rsid w:val="00031263"/>
    <w:rsid w:val="00032237"/>
    <w:rsid w:val="00036F1F"/>
    <w:rsid w:val="000371EA"/>
    <w:rsid w:val="00040453"/>
    <w:rsid w:val="0004079A"/>
    <w:rsid w:val="00040CC2"/>
    <w:rsid w:val="00042BF5"/>
    <w:rsid w:val="00043001"/>
    <w:rsid w:val="00044202"/>
    <w:rsid w:val="00045132"/>
    <w:rsid w:val="000468DB"/>
    <w:rsid w:val="000475A7"/>
    <w:rsid w:val="0005057B"/>
    <w:rsid w:val="00052DC0"/>
    <w:rsid w:val="00054B75"/>
    <w:rsid w:val="00054EAC"/>
    <w:rsid w:val="0005587D"/>
    <w:rsid w:val="00057A40"/>
    <w:rsid w:val="00060E93"/>
    <w:rsid w:val="00063E94"/>
    <w:rsid w:val="00064936"/>
    <w:rsid w:val="00064AF5"/>
    <w:rsid w:val="00064CCE"/>
    <w:rsid w:val="000651C0"/>
    <w:rsid w:val="00066D8E"/>
    <w:rsid w:val="0006731F"/>
    <w:rsid w:val="0007179C"/>
    <w:rsid w:val="000734F8"/>
    <w:rsid w:val="000736B8"/>
    <w:rsid w:val="00074330"/>
    <w:rsid w:val="000752DD"/>
    <w:rsid w:val="0007687F"/>
    <w:rsid w:val="000768EB"/>
    <w:rsid w:val="00080073"/>
    <w:rsid w:val="000817CB"/>
    <w:rsid w:val="00083A61"/>
    <w:rsid w:val="000850C8"/>
    <w:rsid w:val="0008617D"/>
    <w:rsid w:val="00086CED"/>
    <w:rsid w:val="000873EF"/>
    <w:rsid w:val="000941B9"/>
    <w:rsid w:val="000A1B43"/>
    <w:rsid w:val="000A3F76"/>
    <w:rsid w:val="000A6D7B"/>
    <w:rsid w:val="000A6F40"/>
    <w:rsid w:val="000B04F6"/>
    <w:rsid w:val="000B0CEC"/>
    <w:rsid w:val="000B2B69"/>
    <w:rsid w:val="000B3792"/>
    <w:rsid w:val="000B6FE3"/>
    <w:rsid w:val="000C0EE8"/>
    <w:rsid w:val="000C10C2"/>
    <w:rsid w:val="000C147B"/>
    <w:rsid w:val="000C52B8"/>
    <w:rsid w:val="000C5959"/>
    <w:rsid w:val="000C5CFE"/>
    <w:rsid w:val="000C5D80"/>
    <w:rsid w:val="000C6242"/>
    <w:rsid w:val="000C68DB"/>
    <w:rsid w:val="000C6B20"/>
    <w:rsid w:val="000C7C81"/>
    <w:rsid w:val="000D15E1"/>
    <w:rsid w:val="000D2C32"/>
    <w:rsid w:val="000D3968"/>
    <w:rsid w:val="000D3C49"/>
    <w:rsid w:val="000D3FC8"/>
    <w:rsid w:val="000D4676"/>
    <w:rsid w:val="000D53E3"/>
    <w:rsid w:val="000D6081"/>
    <w:rsid w:val="000E0DFA"/>
    <w:rsid w:val="000E6D09"/>
    <w:rsid w:val="000E6F72"/>
    <w:rsid w:val="000F0478"/>
    <w:rsid w:val="000F0549"/>
    <w:rsid w:val="000F0A10"/>
    <w:rsid w:val="000F0A50"/>
    <w:rsid w:val="000F1469"/>
    <w:rsid w:val="000F2F23"/>
    <w:rsid w:val="000F5BAD"/>
    <w:rsid w:val="000F631A"/>
    <w:rsid w:val="000F6431"/>
    <w:rsid w:val="000F7C77"/>
    <w:rsid w:val="000F7C7A"/>
    <w:rsid w:val="0010082D"/>
    <w:rsid w:val="00103D5E"/>
    <w:rsid w:val="00104843"/>
    <w:rsid w:val="00104EA7"/>
    <w:rsid w:val="0010514E"/>
    <w:rsid w:val="00105BB3"/>
    <w:rsid w:val="00105FAD"/>
    <w:rsid w:val="0010657B"/>
    <w:rsid w:val="00110AB4"/>
    <w:rsid w:val="0011155B"/>
    <w:rsid w:val="00111A6A"/>
    <w:rsid w:val="00112545"/>
    <w:rsid w:val="0011258A"/>
    <w:rsid w:val="00112F0E"/>
    <w:rsid w:val="001146D2"/>
    <w:rsid w:val="00115410"/>
    <w:rsid w:val="00116A90"/>
    <w:rsid w:val="00116BC0"/>
    <w:rsid w:val="0012084C"/>
    <w:rsid w:val="00120FB0"/>
    <w:rsid w:val="00121BF1"/>
    <w:rsid w:val="001234EE"/>
    <w:rsid w:val="001273A6"/>
    <w:rsid w:val="00127875"/>
    <w:rsid w:val="00127A8B"/>
    <w:rsid w:val="00132593"/>
    <w:rsid w:val="00134BE5"/>
    <w:rsid w:val="00135D6B"/>
    <w:rsid w:val="00136895"/>
    <w:rsid w:val="00136952"/>
    <w:rsid w:val="001412D1"/>
    <w:rsid w:val="00141A3F"/>
    <w:rsid w:val="001423E3"/>
    <w:rsid w:val="00143FA7"/>
    <w:rsid w:val="00145800"/>
    <w:rsid w:val="00145B3C"/>
    <w:rsid w:val="00145BFB"/>
    <w:rsid w:val="00146AF1"/>
    <w:rsid w:val="001475EA"/>
    <w:rsid w:val="001504F5"/>
    <w:rsid w:val="00150DA1"/>
    <w:rsid w:val="001517BD"/>
    <w:rsid w:val="00155231"/>
    <w:rsid w:val="001617AC"/>
    <w:rsid w:val="00162862"/>
    <w:rsid w:val="00170135"/>
    <w:rsid w:val="001712A7"/>
    <w:rsid w:val="0017248D"/>
    <w:rsid w:val="00173626"/>
    <w:rsid w:val="0017614A"/>
    <w:rsid w:val="00176590"/>
    <w:rsid w:val="0017695B"/>
    <w:rsid w:val="00177C04"/>
    <w:rsid w:val="0018177B"/>
    <w:rsid w:val="001817CD"/>
    <w:rsid w:val="0018235E"/>
    <w:rsid w:val="00184982"/>
    <w:rsid w:val="001853B2"/>
    <w:rsid w:val="001867A5"/>
    <w:rsid w:val="001868A0"/>
    <w:rsid w:val="0018768C"/>
    <w:rsid w:val="00190933"/>
    <w:rsid w:val="00191455"/>
    <w:rsid w:val="001915DB"/>
    <w:rsid w:val="00192A2C"/>
    <w:rsid w:val="00192BA0"/>
    <w:rsid w:val="001939DA"/>
    <w:rsid w:val="00197303"/>
    <w:rsid w:val="00197AA4"/>
    <w:rsid w:val="001A17EA"/>
    <w:rsid w:val="001A1D17"/>
    <w:rsid w:val="001A22AA"/>
    <w:rsid w:val="001A32A9"/>
    <w:rsid w:val="001A410F"/>
    <w:rsid w:val="001A57B7"/>
    <w:rsid w:val="001A7A18"/>
    <w:rsid w:val="001B1261"/>
    <w:rsid w:val="001B1565"/>
    <w:rsid w:val="001B166D"/>
    <w:rsid w:val="001B28B5"/>
    <w:rsid w:val="001B2975"/>
    <w:rsid w:val="001B2E31"/>
    <w:rsid w:val="001B3048"/>
    <w:rsid w:val="001B3306"/>
    <w:rsid w:val="001B39FA"/>
    <w:rsid w:val="001B3DAD"/>
    <w:rsid w:val="001B4D46"/>
    <w:rsid w:val="001B54A8"/>
    <w:rsid w:val="001B5DB0"/>
    <w:rsid w:val="001B71EC"/>
    <w:rsid w:val="001C08A9"/>
    <w:rsid w:val="001C09C9"/>
    <w:rsid w:val="001C0CBA"/>
    <w:rsid w:val="001C122D"/>
    <w:rsid w:val="001C3111"/>
    <w:rsid w:val="001C3363"/>
    <w:rsid w:val="001C5EA2"/>
    <w:rsid w:val="001D29CE"/>
    <w:rsid w:val="001D2A82"/>
    <w:rsid w:val="001D510A"/>
    <w:rsid w:val="001D569B"/>
    <w:rsid w:val="001D605A"/>
    <w:rsid w:val="001E08AD"/>
    <w:rsid w:val="001E0EA3"/>
    <w:rsid w:val="001E4995"/>
    <w:rsid w:val="001E5696"/>
    <w:rsid w:val="001E5B6F"/>
    <w:rsid w:val="001E6050"/>
    <w:rsid w:val="001E7812"/>
    <w:rsid w:val="001E7A42"/>
    <w:rsid w:val="001F09DC"/>
    <w:rsid w:val="001F1A1B"/>
    <w:rsid w:val="001F40DE"/>
    <w:rsid w:val="001F43E6"/>
    <w:rsid w:val="001F7A18"/>
    <w:rsid w:val="0020034B"/>
    <w:rsid w:val="0020163B"/>
    <w:rsid w:val="00202EC4"/>
    <w:rsid w:val="002106BD"/>
    <w:rsid w:val="002114F2"/>
    <w:rsid w:val="00211F97"/>
    <w:rsid w:val="00213772"/>
    <w:rsid w:val="00215D68"/>
    <w:rsid w:val="002200E2"/>
    <w:rsid w:val="0022013A"/>
    <w:rsid w:val="00220749"/>
    <w:rsid w:val="0022220C"/>
    <w:rsid w:val="00222784"/>
    <w:rsid w:val="0022353F"/>
    <w:rsid w:val="0022422C"/>
    <w:rsid w:val="00224622"/>
    <w:rsid w:val="00224634"/>
    <w:rsid w:val="00226C3A"/>
    <w:rsid w:val="0022724E"/>
    <w:rsid w:val="00227C3F"/>
    <w:rsid w:val="00230666"/>
    <w:rsid w:val="00231153"/>
    <w:rsid w:val="00231345"/>
    <w:rsid w:val="0023252E"/>
    <w:rsid w:val="00233917"/>
    <w:rsid w:val="002367F7"/>
    <w:rsid w:val="00241C31"/>
    <w:rsid w:val="00241CAD"/>
    <w:rsid w:val="00245EB5"/>
    <w:rsid w:val="00251CCD"/>
    <w:rsid w:val="00252841"/>
    <w:rsid w:val="00252971"/>
    <w:rsid w:val="002557B6"/>
    <w:rsid w:val="00255A8A"/>
    <w:rsid w:val="00256A0A"/>
    <w:rsid w:val="00256A53"/>
    <w:rsid w:val="00256CCF"/>
    <w:rsid w:val="00256E7C"/>
    <w:rsid w:val="0025714B"/>
    <w:rsid w:val="00261C41"/>
    <w:rsid w:val="00261F47"/>
    <w:rsid w:val="0026313E"/>
    <w:rsid w:val="00263EF3"/>
    <w:rsid w:val="0026504D"/>
    <w:rsid w:val="00265865"/>
    <w:rsid w:val="00265A5F"/>
    <w:rsid w:val="00265DE7"/>
    <w:rsid w:val="00265F2D"/>
    <w:rsid w:val="00266742"/>
    <w:rsid w:val="0026716C"/>
    <w:rsid w:val="002679D5"/>
    <w:rsid w:val="002714FD"/>
    <w:rsid w:val="00275BEF"/>
    <w:rsid w:val="00275F94"/>
    <w:rsid w:val="00276150"/>
    <w:rsid w:val="0027697B"/>
    <w:rsid w:val="0027703C"/>
    <w:rsid w:val="00280B8E"/>
    <w:rsid w:val="002815DF"/>
    <w:rsid w:val="00281B9C"/>
    <w:rsid w:val="00284C9B"/>
    <w:rsid w:val="0028645B"/>
    <w:rsid w:val="002868A8"/>
    <w:rsid w:val="0029364F"/>
    <w:rsid w:val="0029411B"/>
    <w:rsid w:val="00297560"/>
    <w:rsid w:val="002A06C1"/>
    <w:rsid w:val="002A141B"/>
    <w:rsid w:val="002A26B6"/>
    <w:rsid w:val="002A4260"/>
    <w:rsid w:val="002A4905"/>
    <w:rsid w:val="002A6A4E"/>
    <w:rsid w:val="002A7D09"/>
    <w:rsid w:val="002B0A50"/>
    <w:rsid w:val="002B15D7"/>
    <w:rsid w:val="002B5A85"/>
    <w:rsid w:val="002B63A7"/>
    <w:rsid w:val="002B6916"/>
    <w:rsid w:val="002C3474"/>
    <w:rsid w:val="002C357E"/>
    <w:rsid w:val="002C5543"/>
    <w:rsid w:val="002C587C"/>
    <w:rsid w:val="002D0F7F"/>
    <w:rsid w:val="002D39DD"/>
    <w:rsid w:val="002D64FC"/>
    <w:rsid w:val="002E0198"/>
    <w:rsid w:val="002E123C"/>
    <w:rsid w:val="002E1318"/>
    <w:rsid w:val="002E1D7C"/>
    <w:rsid w:val="002E21D7"/>
    <w:rsid w:val="002E279A"/>
    <w:rsid w:val="002E53E2"/>
    <w:rsid w:val="002E7B2E"/>
    <w:rsid w:val="002F3BA1"/>
    <w:rsid w:val="002F449B"/>
    <w:rsid w:val="002F4D86"/>
    <w:rsid w:val="002F57BE"/>
    <w:rsid w:val="002F5D69"/>
    <w:rsid w:val="002F5FE7"/>
    <w:rsid w:val="002F620E"/>
    <w:rsid w:val="002F7C77"/>
    <w:rsid w:val="00300CB3"/>
    <w:rsid w:val="003023F8"/>
    <w:rsid w:val="00302403"/>
    <w:rsid w:val="003031E8"/>
    <w:rsid w:val="0030394B"/>
    <w:rsid w:val="00304D6E"/>
    <w:rsid w:val="00306707"/>
    <w:rsid w:val="00306787"/>
    <w:rsid w:val="00306AEB"/>
    <w:rsid w:val="003072C6"/>
    <w:rsid w:val="00307B16"/>
    <w:rsid w:val="00310678"/>
    <w:rsid w:val="00310D8E"/>
    <w:rsid w:val="00312BFC"/>
    <w:rsid w:val="003138AA"/>
    <w:rsid w:val="00314CBD"/>
    <w:rsid w:val="0031524E"/>
    <w:rsid w:val="00315BBD"/>
    <w:rsid w:val="0031753A"/>
    <w:rsid w:val="00320293"/>
    <w:rsid w:val="00320B93"/>
    <w:rsid w:val="0032169A"/>
    <w:rsid w:val="00322542"/>
    <w:rsid w:val="00322CC2"/>
    <w:rsid w:val="00322D78"/>
    <w:rsid w:val="00326D98"/>
    <w:rsid w:val="003271DC"/>
    <w:rsid w:val="00332808"/>
    <w:rsid w:val="003339D5"/>
    <w:rsid w:val="00333A1A"/>
    <w:rsid w:val="00333BB6"/>
    <w:rsid w:val="00334B54"/>
    <w:rsid w:val="0033739E"/>
    <w:rsid w:val="00340F96"/>
    <w:rsid w:val="003420AF"/>
    <w:rsid w:val="00343733"/>
    <w:rsid w:val="00344740"/>
    <w:rsid w:val="00346C94"/>
    <w:rsid w:val="00347EEE"/>
    <w:rsid w:val="003514FB"/>
    <w:rsid w:val="00351D5E"/>
    <w:rsid w:val="003542FA"/>
    <w:rsid w:val="00355886"/>
    <w:rsid w:val="00356814"/>
    <w:rsid w:val="003568A1"/>
    <w:rsid w:val="0035791D"/>
    <w:rsid w:val="00360136"/>
    <w:rsid w:val="00363B9E"/>
    <w:rsid w:val="003652A1"/>
    <w:rsid w:val="0037066B"/>
    <w:rsid w:val="00371E5B"/>
    <w:rsid w:val="0037282D"/>
    <w:rsid w:val="0037352A"/>
    <w:rsid w:val="003741AD"/>
    <w:rsid w:val="00374952"/>
    <w:rsid w:val="0038019F"/>
    <w:rsid w:val="00382071"/>
    <w:rsid w:val="00384453"/>
    <w:rsid w:val="00384563"/>
    <w:rsid w:val="00386796"/>
    <w:rsid w:val="00391CA9"/>
    <w:rsid w:val="00393B24"/>
    <w:rsid w:val="00395B7B"/>
    <w:rsid w:val="00397829"/>
    <w:rsid w:val="0039786B"/>
    <w:rsid w:val="003A248C"/>
    <w:rsid w:val="003A2F25"/>
    <w:rsid w:val="003B2807"/>
    <w:rsid w:val="003B3B6F"/>
    <w:rsid w:val="003B4EC8"/>
    <w:rsid w:val="003B5AA4"/>
    <w:rsid w:val="003C14B3"/>
    <w:rsid w:val="003C4414"/>
    <w:rsid w:val="003C5B4C"/>
    <w:rsid w:val="003C68F2"/>
    <w:rsid w:val="003D0194"/>
    <w:rsid w:val="003D1CB8"/>
    <w:rsid w:val="003D33C2"/>
    <w:rsid w:val="003D378D"/>
    <w:rsid w:val="003D3906"/>
    <w:rsid w:val="003D4120"/>
    <w:rsid w:val="003D58B3"/>
    <w:rsid w:val="003D58B8"/>
    <w:rsid w:val="003D5CCB"/>
    <w:rsid w:val="003D5CFB"/>
    <w:rsid w:val="003D5DA9"/>
    <w:rsid w:val="003E2636"/>
    <w:rsid w:val="003E2E12"/>
    <w:rsid w:val="003E591B"/>
    <w:rsid w:val="003E635A"/>
    <w:rsid w:val="003F2195"/>
    <w:rsid w:val="003F39CE"/>
    <w:rsid w:val="003F5F2A"/>
    <w:rsid w:val="003F65A6"/>
    <w:rsid w:val="003F7BE5"/>
    <w:rsid w:val="003F7F64"/>
    <w:rsid w:val="004006F2"/>
    <w:rsid w:val="00401108"/>
    <w:rsid w:val="00402476"/>
    <w:rsid w:val="00402927"/>
    <w:rsid w:val="00402FF9"/>
    <w:rsid w:val="00406CBA"/>
    <w:rsid w:val="00407740"/>
    <w:rsid w:val="00407993"/>
    <w:rsid w:val="00410AFD"/>
    <w:rsid w:val="00411008"/>
    <w:rsid w:val="00411833"/>
    <w:rsid w:val="00411D61"/>
    <w:rsid w:val="00412F64"/>
    <w:rsid w:val="00414BC8"/>
    <w:rsid w:val="004154DB"/>
    <w:rsid w:val="00415A27"/>
    <w:rsid w:val="004170E7"/>
    <w:rsid w:val="00417BEB"/>
    <w:rsid w:val="00417CC6"/>
    <w:rsid w:val="00423C31"/>
    <w:rsid w:val="00426D1B"/>
    <w:rsid w:val="004324FF"/>
    <w:rsid w:val="004326CF"/>
    <w:rsid w:val="00432A55"/>
    <w:rsid w:val="0043340E"/>
    <w:rsid w:val="00433F81"/>
    <w:rsid w:val="004344D4"/>
    <w:rsid w:val="004372B7"/>
    <w:rsid w:val="0044260A"/>
    <w:rsid w:val="00443C99"/>
    <w:rsid w:val="00444D82"/>
    <w:rsid w:val="00444DC2"/>
    <w:rsid w:val="0044644F"/>
    <w:rsid w:val="00450340"/>
    <w:rsid w:val="00450EDE"/>
    <w:rsid w:val="004536E5"/>
    <w:rsid w:val="0045435B"/>
    <w:rsid w:val="004564C6"/>
    <w:rsid w:val="004605C7"/>
    <w:rsid w:val="004610CC"/>
    <w:rsid w:val="00462522"/>
    <w:rsid w:val="004628D9"/>
    <w:rsid w:val="00462FC0"/>
    <w:rsid w:val="00464C24"/>
    <w:rsid w:val="00465464"/>
    <w:rsid w:val="00465E87"/>
    <w:rsid w:val="00473532"/>
    <w:rsid w:val="00473B13"/>
    <w:rsid w:val="00473CAC"/>
    <w:rsid w:val="00475106"/>
    <w:rsid w:val="00477762"/>
    <w:rsid w:val="0047786A"/>
    <w:rsid w:val="00477A65"/>
    <w:rsid w:val="00477AA4"/>
    <w:rsid w:val="00477BEC"/>
    <w:rsid w:val="004815BE"/>
    <w:rsid w:val="00482DB3"/>
    <w:rsid w:val="00484663"/>
    <w:rsid w:val="004851BF"/>
    <w:rsid w:val="004877FF"/>
    <w:rsid w:val="0049050D"/>
    <w:rsid w:val="00490740"/>
    <w:rsid w:val="004912BF"/>
    <w:rsid w:val="00492B86"/>
    <w:rsid w:val="00493BCE"/>
    <w:rsid w:val="00495E29"/>
    <w:rsid w:val="004A0236"/>
    <w:rsid w:val="004A135B"/>
    <w:rsid w:val="004A1692"/>
    <w:rsid w:val="004A354C"/>
    <w:rsid w:val="004A3653"/>
    <w:rsid w:val="004A369A"/>
    <w:rsid w:val="004A3B3E"/>
    <w:rsid w:val="004B16D9"/>
    <w:rsid w:val="004B1D4A"/>
    <w:rsid w:val="004B442A"/>
    <w:rsid w:val="004B68FC"/>
    <w:rsid w:val="004B79B2"/>
    <w:rsid w:val="004C02D9"/>
    <w:rsid w:val="004C3751"/>
    <w:rsid w:val="004C393E"/>
    <w:rsid w:val="004C4962"/>
    <w:rsid w:val="004C4A27"/>
    <w:rsid w:val="004C5777"/>
    <w:rsid w:val="004C6449"/>
    <w:rsid w:val="004C6D5F"/>
    <w:rsid w:val="004C6FC4"/>
    <w:rsid w:val="004C73DD"/>
    <w:rsid w:val="004D0173"/>
    <w:rsid w:val="004D0794"/>
    <w:rsid w:val="004D1056"/>
    <w:rsid w:val="004D218B"/>
    <w:rsid w:val="004D2980"/>
    <w:rsid w:val="004D2B7B"/>
    <w:rsid w:val="004D31FC"/>
    <w:rsid w:val="004D3577"/>
    <w:rsid w:val="004D5162"/>
    <w:rsid w:val="004D5E9D"/>
    <w:rsid w:val="004D5EB7"/>
    <w:rsid w:val="004D74C4"/>
    <w:rsid w:val="004D7AA9"/>
    <w:rsid w:val="004E0775"/>
    <w:rsid w:val="004E1610"/>
    <w:rsid w:val="004E1B98"/>
    <w:rsid w:val="004E1EDE"/>
    <w:rsid w:val="004E21E2"/>
    <w:rsid w:val="004E26E5"/>
    <w:rsid w:val="004E293F"/>
    <w:rsid w:val="004E2E8A"/>
    <w:rsid w:val="004E380D"/>
    <w:rsid w:val="004E4694"/>
    <w:rsid w:val="004E46A9"/>
    <w:rsid w:val="004E573C"/>
    <w:rsid w:val="004E6B80"/>
    <w:rsid w:val="004E73A1"/>
    <w:rsid w:val="004E7922"/>
    <w:rsid w:val="004F0DFC"/>
    <w:rsid w:val="004F1A10"/>
    <w:rsid w:val="004F1F29"/>
    <w:rsid w:val="004F2B6C"/>
    <w:rsid w:val="004F2E5D"/>
    <w:rsid w:val="004F3199"/>
    <w:rsid w:val="004F3441"/>
    <w:rsid w:val="004F41B2"/>
    <w:rsid w:val="004F4AFC"/>
    <w:rsid w:val="004F52A5"/>
    <w:rsid w:val="004F53C2"/>
    <w:rsid w:val="004F5679"/>
    <w:rsid w:val="004F62F3"/>
    <w:rsid w:val="004F6A0A"/>
    <w:rsid w:val="004F7E26"/>
    <w:rsid w:val="00500C8C"/>
    <w:rsid w:val="00501375"/>
    <w:rsid w:val="00501D3B"/>
    <w:rsid w:val="005022C9"/>
    <w:rsid w:val="00502B8F"/>
    <w:rsid w:val="005059EB"/>
    <w:rsid w:val="00506A91"/>
    <w:rsid w:val="0050779D"/>
    <w:rsid w:val="00511128"/>
    <w:rsid w:val="005139EA"/>
    <w:rsid w:val="00513D27"/>
    <w:rsid w:val="0051413E"/>
    <w:rsid w:val="00516C64"/>
    <w:rsid w:val="00520602"/>
    <w:rsid w:val="00520BBB"/>
    <w:rsid w:val="00520F16"/>
    <w:rsid w:val="0052211F"/>
    <w:rsid w:val="00522786"/>
    <w:rsid w:val="00524310"/>
    <w:rsid w:val="00524C3B"/>
    <w:rsid w:val="00524EBF"/>
    <w:rsid w:val="00525456"/>
    <w:rsid w:val="00527E9D"/>
    <w:rsid w:val="005314BC"/>
    <w:rsid w:val="00532236"/>
    <w:rsid w:val="00532474"/>
    <w:rsid w:val="00533155"/>
    <w:rsid w:val="005338EA"/>
    <w:rsid w:val="005343B2"/>
    <w:rsid w:val="00534C18"/>
    <w:rsid w:val="00535BC2"/>
    <w:rsid w:val="00535C61"/>
    <w:rsid w:val="005360EB"/>
    <w:rsid w:val="0054016E"/>
    <w:rsid w:val="00540E14"/>
    <w:rsid w:val="00541DFE"/>
    <w:rsid w:val="005428BA"/>
    <w:rsid w:val="00542CDB"/>
    <w:rsid w:val="00543787"/>
    <w:rsid w:val="00543E6C"/>
    <w:rsid w:val="00544184"/>
    <w:rsid w:val="005478B7"/>
    <w:rsid w:val="00551789"/>
    <w:rsid w:val="00553F68"/>
    <w:rsid w:val="005541B4"/>
    <w:rsid w:val="0055420F"/>
    <w:rsid w:val="0055434C"/>
    <w:rsid w:val="00554979"/>
    <w:rsid w:val="00555229"/>
    <w:rsid w:val="005552FD"/>
    <w:rsid w:val="0055536E"/>
    <w:rsid w:val="005553B5"/>
    <w:rsid w:val="005575B8"/>
    <w:rsid w:val="005600E5"/>
    <w:rsid w:val="00562565"/>
    <w:rsid w:val="0056347D"/>
    <w:rsid w:val="00564691"/>
    <w:rsid w:val="0056482F"/>
    <w:rsid w:val="00564E8F"/>
    <w:rsid w:val="00565AEC"/>
    <w:rsid w:val="005703EB"/>
    <w:rsid w:val="005721B8"/>
    <w:rsid w:val="005728A4"/>
    <w:rsid w:val="00573EB1"/>
    <w:rsid w:val="005762E6"/>
    <w:rsid w:val="005763FC"/>
    <w:rsid w:val="00576AAC"/>
    <w:rsid w:val="00576EB4"/>
    <w:rsid w:val="005770E1"/>
    <w:rsid w:val="00577B30"/>
    <w:rsid w:val="00580C9D"/>
    <w:rsid w:val="0058190A"/>
    <w:rsid w:val="00582768"/>
    <w:rsid w:val="005829B4"/>
    <w:rsid w:val="00582BA6"/>
    <w:rsid w:val="00583461"/>
    <w:rsid w:val="0058545A"/>
    <w:rsid w:val="005856A4"/>
    <w:rsid w:val="0058795E"/>
    <w:rsid w:val="0059062E"/>
    <w:rsid w:val="00590730"/>
    <w:rsid w:val="00591B52"/>
    <w:rsid w:val="00591B63"/>
    <w:rsid w:val="005946FD"/>
    <w:rsid w:val="005A0570"/>
    <w:rsid w:val="005A1BBF"/>
    <w:rsid w:val="005A3051"/>
    <w:rsid w:val="005A3251"/>
    <w:rsid w:val="005A53FE"/>
    <w:rsid w:val="005A56DC"/>
    <w:rsid w:val="005B2EF7"/>
    <w:rsid w:val="005B4A97"/>
    <w:rsid w:val="005B4F15"/>
    <w:rsid w:val="005B7B0C"/>
    <w:rsid w:val="005B7D22"/>
    <w:rsid w:val="005BEB49"/>
    <w:rsid w:val="005C029E"/>
    <w:rsid w:val="005C424A"/>
    <w:rsid w:val="005C750D"/>
    <w:rsid w:val="005C782F"/>
    <w:rsid w:val="005C7CC6"/>
    <w:rsid w:val="005D0148"/>
    <w:rsid w:val="005D0E21"/>
    <w:rsid w:val="005D427D"/>
    <w:rsid w:val="005D4FF6"/>
    <w:rsid w:val="005E0241"/>
    <w:rsid w:val="005E085D"/>
    <w:rsid w:val="005E1ABB"/>
    <w:rsid w:val="005E1D50"/>
    <w:rsid w:val="005E2CF4"/>
    <w:rsid w:val="005E3342"/>
    <w:rsid w:val="005E3FA7"/>
    <w:rsid w:val="005E57D4"/>
    <w:rsid w:val="005E75E0"/>
    <w:rsid w:val="005E7683"/>
    <w:rsid w:val="005E7963"/>
    <w:rsid w:val="005F218C"/>
    <w:rsid w:val="005F397C"/>
    <w:rsid w:val="005F4523"/>
    <w:rsid w:val="005F6E47"/>
    <w:rsid w:val="0060109E"/>
    <w:rsid w:val="00601D4D"/>
    <w:rsid w:val="006021B4"/>
    <w:rsid w:val="0060421D"/>
    <w:rsid w:val="00605A92"/>
    <w:rsid w:val="00605B5B"/>
    <w:rsid w:val="006062D8"/>
    <w:rsid w:val="00606827"/>
    <w:rsid w:val="00607AF9"/>
    <w:rsid w:val="006110FA"/>
    <w:rsid w:val="00614829"/>
    <w:rsid w:val="006159C2"/>
    <w:rsid w:val="00616E8E"/>
    <w:rsid w:val="00620262"/>
    <w:rsid w:val="00621B4C"/>
    <w:rsid w:val="00622617"/>
    <w:rsid w:val="006229FA"/>
    <w:rsid w:val="00622E06"/>
    <w:rsid w:val="006234ED"/>
    <w:rsid w:val="00624579"/>
    <w:rsid w:val="00625B04"/>
    <w:rsid w:val="00627C52"/>
    <w:rsid w:val="00630255"/>
    <w:rsid w:val="00630937"/>
    <w:rsid w:val="0063119B"/>
    <w:rsid w:val="00631377"/>
    <w:rsid w:val="006315FA"/>
    <w:rsid w:val="006332FB"/>
    <w:rsid w:val="006363C1"/>
    <w:rsid w:val="00637980"/>
    <w:rsid w:val="006414E8"/>
    <w:rsid w:val="00643E47"/>
    <w:rsid w:val="006476D5"/>
    <w:rsid w:val="00647E4B"/>
    <w:rsid w:val="00653B84"/>
    <w:rsid w:val="00653E0D"/>
    <w:rsid w:val="0065568C"/>
    <w:rsid w:val="00656063"/>
    <w:rsid w:val="006602E0"/>
    <w:rsid w:val="00661AD3"/>
    <w:rsid w:val="006623E6"/>
    <w:rsid w:val="00664A6A"/>
    <w:rsid w:val="006660D1"/>
    <w:rsid w:val="00667E3B"/>
    <w:rsid w:val="0067079D"/>
    <w:rsid w:val="0067235E"/>
    <w:rsid w:val="00672760"/>
    <w:rsid w:val="00675193"/>
    <w:rsid w:val="00676C66"/>
    <w:rsid w:val="00682A6B"/>
    <w:rsid w:val="00685CDD"/>
    <w:rsid w:val="006865C8"/>
    <w:rsid w:val="00686B48"/>
    <w:rsid w:val="00687038"/>
    <w:rsid w:val="0068714E"/>
    <w:rsid w:val="006872F5"/>
    <w:rsid w:val="00690EA4"/>
    <w:rsid w:val="006929F7"/>
    <w:rsid w:val="0069374A"/>
    <w:rsid w:val="006946BD"/>
    <w:rsid w:val="00694AB8"/>
    <w:rsid w:val="00695EF7"/>
    <w:rsid w:val="0069699D"/>
    <w:rsid w:val="006A03C2"/>
    <w:rsid w:val="006A10BB"/>
    <w:rsid w:val="006A18AF"/>
    <w:rsid w:val="006A25CB"/>
    <w:rsid w:val="006A358F"/>
    <w:rsid w:val="006A5F8E"/>
    <w:rsid w:val="006A65FD"/>
    <w:rsid w:val="006A739F"/>
    <w:rsid w:val="006A7E38"/>
    <w:rsid w:val="006B0641"/>
    <w:rsid w:val="006B23D4"/>
    <w:rsid w:val="006B2C51"/>
    <w:rsid w:val="006B6361"/>
    <w:rsid w:val="006C2BF5"/>
    <w:rsid w:val="006C7360"/>
    <w:rsid w:val="006D180A"/>
    <w:rsid w:val="006D2154"/>
    <w:rsid w:val="006D24CE"/>
    <w:rsid w:val="006D2C69"/>
    <w:rsid w:val="006D2ED5"/>
    <w:rsid w:val="006D360C"/>
    <w:rsid w:val="006D5AC9"/>
    <w:rsid w:val="006D66ED"/>
    <w:rsid w:val="006E1E2B"/>
    <w:rsid w:val="006E2522"/>
    <w:rsid w:val="006E42D6"/>
    <w:rsid w:val="006E4407"/>
    <w:rsid w:val="006E6121"/>
    <w:rsid w:val="006E70C2"/>
    <w:rsid w:val="006E786B"/>
    <w:rsid w:val="006F1653"/>
    <w:rsid w:val="006F1D41"/>
    <w:rsid w:val="006F39CA"/>
    <w:rsid w:val="006F3E0E"/>
    <w:rsid w:val="007002B1"/>
    <w:rsid w:val="007003E0"/>
    <w:rsid w:val="00700C32"/>
    <w:rsid w:val="00700EB8"/>
    <w:rsid w:val="00703020"/>
    <w:rsid w:val="0070324A"/>
    <w:rsid w:val="007034A6"/>
    <w:rsid w:val="00704445"/>
    <w:rsid w:val="00704A28"/>
    <w:rsid w:val="00704EB7"/>
    <w:rsid w:val="00705182"/>
    <w:rsid w:val="00705742"/>
    <w:rsid w:val="00705B63"/>
    <w:rsid w:val="00706EA3"/>
    <w:rsid w:val="00710310"/>
    <w:rsid w:val="007104FE"/>
    <w:rsid w:val="00711419"/>
    <w:rsid w:val="00711B0C"/>
    <w:rsid w:val="007121A2"/>
    <w:rsid w:val="00713981"/>
    <w:rsid w:val="00713E00"/>
    <w:rsid w:val="0071594A"/>
    <w:rsid w:val="007176D6"/>
    <w:rsid w:val="00720B00"/>
    <w:rsid w:val="00721A3C"/>
    <w:rsid w:val="007224C8"/>
    <w:rsid w:val="0072769A"/>
    <w:rsid w:val="00727D54"/>
    <w:rsid w:val="00731EF2"/>
    <w:rsid w:val="007344C5"/>
    <w:rsid w:val="00734959"/>
    <w:rsid w:val="00735137"/>
    <w:rsid w:val="0073520D"/>
    <w:rsid w:val="00735F25"/>
    <w:rsid w:val="00736827"/>
    <w:rsid w:val="00741A93"/>
    <w:rsid w:val="00744E5C"/>
    <w:rsid w:val="007468A4"/>
    <w:rsid w:val="007579BD"/>
    <w:rsid w:val="007639ED"/>
    <w:rsid w:val="00764E11"/>
    <w:rsid w:val="007659B5"/>
    <w:rsid w:val="007678F1"/>
    <w:rsid w:val="007722C7"/>
    <w:rsid w:val="00772A2C"/>
    <w:rsid w:val="00773A4E"/>
    <w:rsid w:val="00775906"/>
    <w:rsid w:val="0077668F"/>
    <w:rsid w:val="00776889"/>
    <w:rsid w:val="00776B0B"/>
    <w:rsid w:val="00780119"/>
    <w:rsid w:val="00780226"/>
    <w:rsid w:val="00780F68"/>
    <w:rsid w:val="00781AB4"/>
    <w:rsid w:val="0078202E"/>
    <w:rsid w:val="00783F7B"/>
    <w:rsid w:val="007923B7"/>
    <w:rsid w:val="0079249D"/>
    <w:rsid w:val="00792616"/>
    <w:rsid w:val="007926BB"/>
    <w:rsid w:val="00792BF9"/>
    <w:rsid w:val="0079344C"/>
    <w:rsid w:val="0079382F"/>
    <w:rsid w:val="00794CF2"/>
    <w:rsid w:val="007968AE"/>
    <w:rsid w:val="00797350"/>
    <w:rsid w:val="007A012F"/>
    <w:rsid w:val="007A0283"/>
    <w:rsid w:val="007A210B"/>
    <w:rsid w:val="007A5413"/>
    <w:rsid w:val="007B09C1"/>
    <w:rsid w:val="007B0B76"/>
    <w:rsid w:val="007B347C"/>
    <w:rsid w:val="007B4C70"/>
    <w:rsid w:val="007B6C18"/>
    <w:rsid w:val="007B7917"/>
    <w:rsid w:val="007B7C47"/>
    <w:rsid w:val="007C02C7"/>
    <w:rsid w:val="007C0973"/>
    <w:rsid w:val="007C21EE"/>
    <w:rsid w:val="007C3F66"/>
    <w:rsid w:val="007C6B19"/>
    <w:rsid w:val="007C6E9A"/>
    <w:rsid w:val="007D082A"/>
    <w:rsid w:val="007D3A2E"/>
    <w:rsid w:val="007D53C3"/>
    <w:rsid w:val="007D6098"/>
    <w:rsid w:val="007D6652"/>
    <w:rsid w:val="007D7B1E"/>
    <w:rsid w:val="007E343D"/>
    <w:rsid w:val="007E4858"/>
    <w:rsid w:val="007E4CA3"/>
    <w:rsid w:val="007E54EF"/>
    <w:rsid w:val="007F07ED"/>
    <w:rsid w:val="007F0DA0"/>
    <w:rsid w:val="007F4383"/>
    <w:rsid w:val="007F4455"/>
    <w:rsid w:val="007F5858"/>
    <w:rsid w:val="007F6862"/>
    <w:rsid w:val="007F7FB4"/>
    <w:rsid w:val="00800C89"/>
    <w:rsid w:val="00801601"/>
    <w:rsid w:val="0080169A"/>
    <w:rsid w:val="008021EB"/>
    <w:rsid w:val="0080258B"/>
    <w:rsid w:val="00802A76"/>
    <w:rsid w:val="00802BCD"/>
    <w:rsid w:val="00802CFA"/>
    <w:rsid w:val="008036A7"/>
    <w:rsid w:val="00804DCD"/>
    <w:rsid w:val="00805159"/>
    <w:rsid w:val="00810991"/>
    <w:rsid w:val="00810E7A"/>
    <w:rsid w:val="00810E96"/>
    <w:rsid w:val="00811340"/>
    <w:rsid w:val="008136BB"/>
    <w:rsid w:val="008138E1"/>
    <w:rsid w:val="00813E0B"/>
    <w:rsid w:val="00814683"/>
    <w:rsid w:val="00814861"/>
    <w:rsid w:val="00814A9B"/>
    <w:rsid w:val="00814F66"/>
    <w:rsid w:val="00816F44"/>
    <w:rsid w:val="00817C9E"/>
    <w:rsid w:val="008205AF"/>
    <w:rsid w:val="008225E5"/>
    <w:rsid w:val="00822EB7"/>
    <w:rsid w:val="00823549"/>
    <w:rsid w:val="008250D7"/>
    <w:rsid w:val="00826AD6"/>
    <w:rsid w:val="0082741B"/>
    <w:rsid w:val="00830B49"/>
    <w:rsid w:val="00831053"/>
    <w:rsid w:val="008314D2"/>
    <w:rsid w:val="00831623"/>
    <w:rsid w:val="0083193C"/>
    <w:rsid w:val="0083254D"/>
    <w:rsid w:val="00832CCB"/>
    <w:rsid w:val="00832F34"/>
    <w:rsid w:val="00834418"/>
    <w:rsid w:val="00834731"/>
    <w:rsid w:val="008352EF"/>
    <w:rsid w:val="00836249"/>
    <w:rsid w:val="00836ABE"/>
    <w:rsid w:val="00836B48"/>
    <w:rsid w:val="00836F00"/>
    <w:rsid w:val="00837948"/>
    <w:rsid w:val="00843F88"/>
    <w:rsid w:val="00844598"/>
    <w:rsid w:val="00846192"/>
    <w:rsid w:val="00850806"/>
    <w:rsid w:val="00852D29"/>
    <w:rsid w:val="008530C9"/>
    <w:rsid w:val="00853FDA"/>
    <w:rsid w:val="00856A1B"/>
    <w:rsid w:val="00856CAA"/>
    <w:rsid w:val="0085707F"/>
    <w:rsid w:val="00857588"/>
    <w:rsid w:val="00860427"/>
    <w:rsid w:val="00861A76"/>
    <w:rsid w:val="008621C3"/>
    <w:rsid w:val="00865486"/>
    <w:rsid w:val="00866077"/>
    <w:rsid w:val="008669BE"/>
    <w:rsid w:val="00866DC3"/>
    <w:rsid w:val="00872D39"/>
    <w:rsid w:val="008733D2"/>
    <w:rsid w:val="00874E61"/>
    <w:rsid w:val="008753AB"/>
    <w:rsid w:val="00875AD5"/>
    <w:rsid w:val="00876275"/>
    <w:rsid w:val="00877CD4"/>
    <w:rsid w:val="00882B99"/>
    <w:rsid w:val="00883D2F"/>
    <w:rsid w:val="00884494"/>
    <w:rsid w:val="008845C0"/>
    <w:rsid w:val="00885D34"/>
    <w:rsid w:val="00886121"/>
    <w:rsid w:val="00886B3C"/>
    <w:rsid w:val="0089337B"/>
    <w:rsid w:val="008935B3"/>
    <w:rsid w:val="008938AA"/>
    <w:rsid w:val="00893BF2"/>
    <w:rsid w:val="008943C7"/>
    <w:rsid w:val="00896D79"/>
    <w:rsid w:val="008A0BF4"/>
    <w:rsid w:val="008A1A41"/>
    <w:rsid w:val="008A25BD"/>
    <w:rsid w:val="008A295B"/>
    <w:rsid w:val="008A2CB3"/>
    <w:rsid w:val="008A4C7F"/>
    <w:rsid w:val="008A5B97"/>
    <w:rsid w:val="008A613C"/>
    <w:rsid w:val="008A6604"/>
    <w:rsid w:val="008A6D31"/>
    <w:rsid w:val="008B060C"/>
    <w:rsid w:val="008B08FE"/>
    <w:rsid w:val="008B1C73"/>
    <w:rsid w:val="008B35CC"/>
    <w:rsid w:val="008B5482"/>
    <w:rsid w:val="008B6144"/>
    <w:rsid w:val="008B64D8"/>
    <w:rsid w:val="008C11F4"/>
    <w:rsid w:val="008C24E8"/>
    <w:rsid w:val="008C2BEC"/>
    <w:rsid w:val="008C33EC"/>
    <w:rsid w:val="008C5288"/>
    <w:rsid w:val="008C5414"/>
    <w:rsid w:val="008C6523"/>
    <w:rsid w:val="008C66A3"/>
    <w:rsid w:val="008C6D0E"/>
    <w:rsid w:val="008D09D2"/>
    <w:rsid w:val="008D1397"/>
    <w:rsid w:val="008D1C83"/>
    <w:rsid w:val="008D39C5"/>
    <w:rsid w:val="008D4A44"/>
    <w:rsid w:val="008E12AA"/>
    <w:rsid w:val="008E1D89"/>
    <w:rsid w:val="008E1EA4"/>
    <w:rsid w:val="008E3E3E"/>
    <w:rsid w:val="008E3FAA"/>
    <w:rsid w:val="008E4589"/>
    <w:rsid w:val="008E5C75"/>
    <w:rsid w:val="008E75F4"/>
    <w:rsid w:val="008E7AF4"/>
    <w:rsid w:val="008F075D"/>
    <w:rsid w:val="008F2BC4"/>
    <w:rsid w:val="008F3A1D"/>
    <w:rsid w:val="008F5F87"/>
    <w:rsid w:val="00900964"/>
    <w:rsid w:val="00900A34"/>
    <w:rsid w:val="0090104D"/>
    <w:rsid w:val="00903164"/>
    <w:rsid w:val="0090326B"/>
    <w:rsid w:val="009043FF"/>
    <w:rsid w:val="00904462"/>
    <w:rsid w:val="009051D7"/>
    <w:rsid w:val="00906132"/>
    <w:rsid w:val="00907073"/>
    <w:rsid w:val="009100CA"/>
    <w:rsid w:val="00910A6D"/>
    <w:rsid w:val="00912941"/>
    <w:rsid w:val="00913151"/>
    <w:rsid w:val="009138E9"/>
    <w:rsid w:val="009208F5"/>
    <w:rsid w:val="00923968"/>
    <w:rsid w:val="009248FE"/>
    <w:rsid w:val="00924998"/>
    <w:rsid w:val="00927D51"/>
    <w:rsid w:val="0093042C"/>
    <w:rsid w:val="009319B3"/>
    <w:rsid w:val="00932272"/>
    <w:rsid w:val="00932862"/>
    <w:rsid w:val="009341DC"/>
    <w:rsid w:val="00935BAF"/>
    <w:rsid w:val="00935D60"/>
    <w:rsid w:val="009360D6"/>
    <w:rsid w:val="009402CA"/>
    <w:rsid w:val="00941D0E"/>
    <w:rsid w:val="00942B97"/>
    <w:rsid w:val="00942D46"/>
    <w:rsid w:val="00943B08"/>
    <w:rsid w:val="009447BB"/>
    <w:rsid w:val="00944C48"/>
    <w:rsid w:val="00945A48"/>
    <w:rsid w:val="00946335"/>
    <w:rsid w:val="0095043A"/>
    <w:rsid w:val="00950A9D"/>
    <w:rsid w:val="009513C4"/>
    <w:rsid w:val="00952B26"/>
    <w:rsid w:val="00955E55"/>
    <w:rsid w:val="0095636B"/>
    <w:rsid w:val="00956A4E"/>
    <w:rsid w:val="0095770C"/>
    <w:rsid w:val="009579B3"/>
    <w:rsid w:val="00957A7B"/>
    <w:rsid w:val="00957C65"/>
    <w:rsid w:val="0096020D"/>
    <w:rsid w:val="0096071B"/>
    <w:rsid w:val="009616A8"/>
    <w:rsid w:val="009619C6"/>
    <w:rsid w:val="00962200"/>
    <w:rsid w:val="00963737"/>
    <w:rsid w:val="00964086"/>
    <w:rsid w:val="00964E0A"/>
    <w:rsid w:val="00965198"/>
    <w:rsid w:val="00966090"/>
    <w:rsid w:val="009665EA"/>
    <w:rsid w:val="00966CE9"/>
    <w:rsid w:val="00966F54"/>
    <w:rsid w:val="00975E61"/>
    <w:rsid w:val="00976937"/>
    <w:rsid w:val="00976E31"/>
    <w:rsid w:val="00977C63"/>
    <w:rsid w:val="00980087"/>
    <w:rsid w:val="00980C0B"/>
    <w:rsid w:val="00980F5E"/>
    <w:rsid w:val="009844D3"/>
    <w:rsid w:val="0098512B"/>
    <w:rsid w:val="0098524F"/>
    <w:rsid w:val="00986294"/>
    <w:rsid w:val="00987ABE"/>
    <w:rsid w:val="009906C7"/>
    <w:rsid w:val="00991739"/>
    <w:rsid w:val="00991A82"/>
    <w:rsid w:val="0099543C"/>
    <w:rsid w:val="009963CD"/>
    <w:rsid w:val="0099690B"/>
    <w:rsid w:val="009A024E"/>
    <w:rsid w:val="009A6675"/>
    <w:rsid w:val="009B266D"/>
    <w:rsid w:val="009B3352"/>
    <w:rsid w:val="009B3584"/>
    <w:rsid w:val="009B3FDC"/>
    <w:rsid w:val="009B4A6A"/>
    <w:rsid w:val="009B5CBF"/>
    <w:rsid w:val="009B695D"/>
    <w:rsid w:val="009B6BD8"/>
    <w:rsid w:val="009C184A"/>
    <w:rsid w:val="009C1A33"/>
    <w:rsid w:val="009C2CA5"/>
    <w:rsid w:val="009C611B"/>
    <w:rsid w:val="009C65A4"/>
    <w:rsid w:val="009D0109"/>
    <w:rsid w:val="009D0C4D"/>
    <w:rsid w:val="009D3E45"/>
    <w:rsid w:val="009D3F60"/>
    <w:rsid w:val="009D5524"/>
    <w:rsid w:val="009D6738"/>
    <w:rsid w:val="009E168B"/>
    <w:rsid w:val="009E2E33"/>
    <w:rsid w:val="009E4D7F"/>
    <w:rsid w:val="009E661F"/>
    <w:rsid w:val="009E74F3"/>
    <w:rsid w:val="009F114A"/>
    <w:rsid w:val="009F351F"/>
    <w:rsid w:val="009F3D1F"/>
    <w:rsid w:val="009F3F89"/>
    <w:rsid w:val="009F480E"/>
    <w:rsid w:val="009F57AC"/>
    <w:rsid w:val="009F7F98"/>
    <w:rsid w:val="00A02138"/>
    <w:rsid w:val="00A022A2"/>
    <w:rsid w:val="00A02D15"/>
    <w:rsid w:val="00A034C3"/>
    <w:rsid w:val="00A03740"/>
    <w:rsid w:val="00A04EBF"/>
    <w:rsid w:val="00A05921"/>
    <w:rsid w:val="00A05F9C"/>
    <w:rsid w:val="00A06DD4"/>
    <w:rsid w:val="00A06EDB"/>
    <w:rsid w:val="00A072EA"/>
    <w:rsid w:val="00A07326"/>
    <w:rsid w:val="00A11403"/>
    <w:rsid w:val="00A12807"/>
    <w:rsid w:val="00A1344A"/>
    <w:rsid w:val="00A15BF9"/>
    <w:rsid w:val="00A17B7E"/>
    <w:rsid w:val="00A214B8"/>
    <w:rsid w:val="00A21830"/>
    <w:rsid w:val="00A21996"/>
    <w:rsid w:val="00A23900"/>
    <w:rsid w:val="00A263BF"/>
    <w:rsid w:val="00A26B0D"/>
    <w:rsid w:val="00A31BA2"/>
    <w:rsid w:val="00A31C47"/>
    <w:rsid w:val="00A32451"/>
    <w:rsid w:val="00A33F64"/>
    <w:rsid w:val="00A34AB4"/>
    <w:rsid w:val="00A34D95"/>
    <w:rsid w:val="00A35215"/>
    <w:rsid w:val="00A35E21"/>
    <w:rsid w:val="00A3735A"/>
    <w:rsid w:val="00A37FE5"/>
    <w:rsid w:val="00A41EC1"/>
    <w:rsid w:val="00A42F1B"/>
    <w:rsid w:val="00A43085"/>
    <w:rsid w:val="00A44AB7"/>
    <w:rsid w:val="00A44EBE"/>
    <w:rsid w:val="00A4535C"/>
    <w:rsid w:val="00A47527"/>
    <w:rsid w:val="00A522B6"/>
    <w:rsid w:val="00A52971"/>
    <w:rsid w:val="00A54367"/>
    <w:rsid w:val="00A546BC"/>
    <w:rsid w:val="00A55989"/>
    <w:rsid w:val="00A5694A"/>
    <w:rsid w:val="00A60A18"/>
    <w:rsid w:val="00A615B4"/>
    <w:rsid w:val="00A62AC0"/>
    <w:rsid w:val="00A63DA4"/>
    <w:rsid w:val="00A64DDE"/>
    <w:rsid w:val="00A65D45"/>
    <w:rsid w:val="00A70E98"/>
    <w:rsid w:val="00A7306A"/>
    <w:rsid w:val="00A7339C"/>
    <w:rsid w:val="00A75CD5"/>
    <w:rsid w:val="00A763D5"/>
    <w:rsid w:val="00A80337"/>
    <w:rsid w:val="00A81CF0"/>
    <w:rsid w:val="00A820AE"/>
    <w:rsid w:val="00A828DB"/>
    <w:rsid w:val="00A83625"/>
    <w:rsid w:val="00A83DF3"/>
    <w:rsid w:val="00A83F07"/>
    <w:rsid w:val="00A85915"/>
    <w:rsid w:val="00A86270"/>
    <w:rsid w:val="00A87367"/>
    <w:rsid w:val="00A9091C"/>
    <w:rsid w:val="00A9378A"/>
    <w:rsid w:val="00A952AB"/>
    <w:rsid w:val="00A96F98"/>
    <w:rsid w:val="00A9783D"/>
    <w:rsid w:val="00A97D5B"/>
    <w:rsid w:val="00AA03B5"/>
    <w:rsid w:val="00AA45E6"/>
    <w:rsid w:val="00AA54AE"/>
    <w:rsid w:val="00AA5A37"/>
    <w:rsid w:val="00AB0D79"/>
    <w:rsid w:val="00AB24EB"/>
    <w:rsid w:val="00AB26F0"/>
    <w:rsid w:val="00AB28B1"/>
    <w:rsid w:val="00AB489C"/>
    <w:rsid w:val="00AB4C73"/>
    <w:rsid w:val="00AB4FC9"/>
    <w:rsid w:val="00AB50C1"/>
    <w:rsid w:val="00AB6936"/>
    <w:rsid w:val="00AB79E8"/>
    <w:rsid w:val="00AC0C3B"/>
    <w:rsid w:val="00AC26CA"/>
    <w:rsid w:val="00AC272F"/>
    <w:rsid w:val="00AC2D63"/>
    <w:rsid w:val="00AC35F1"/>
    <w:rsid w:val="00AC6124"/>
    <w:rsid w:val="00AC727A"/>
    <w:rsid w:val="00AD03D8"/>
    <w:rsid w:val="00AD0711"/>
    <w:rsid w:val="00AD29FF"/>
    <w:rsid w:val="00AD30C4"/>
    <w:rsid w:val="00AD3314"/>
    <w:rsid w:val="00AD3DB3"/>
    <w:rsid w:val="00AD4C99"/>
    <w:rsid w:val="00AD4C9E"/>
    <w:rsid w:val="00AD6880"/>
    <w:rsid w:val="00AD704E"/>
    <w:rsid w:val="00AD72CD"/>
    <w:rsid w:val="00AE105B"/>
    <w:rsid w:val="00AE14F5"/>
    <w:rsid w:val="00AE2252"/>
    <w:rsid w:val="00AE5FE0"/>
    <w:rsid w:val="00AE60B7"/>
    <w:rsid w:val="00AF139F"/>
    <w:rsid w:val="00AF2AB7"/>
    <w:rsid w:val="00AF2B1C"/>
    <w:rsid w:val="00AF3371"/>
    <w:rsid w:val="00AF35DA"/>
    <w:rsid w:val="00AF39B4"/>
    <w:rsid w:val="00AF4D3F"/>
    <w:rsid w:val="00AF5EDB"/>
    <w:rsid w:val="00B02212"/>
    <w:rsid w:val="00B0300B"/>
    <w:rsid w:val="00B05457"/>
    <w:rsid w:val="00B057F5"/>
    <w:rsid w:val="00B1125E"/>
    <w:rsid w:val="00B1141C"/>
    <w:rsid w:val="00B11496"/>
    <w:rsid w:val="00B128A0"/>
    <w:rsid w:val="00B12DCE"/>
    <w:rsid w:val="00B12DD8"/>
    <w:rsid w:val="00B12FDE"/>
    <w:rsid w:val="00B14350"/>
    <w:rsid w:val="00B17D20"/>
    <w:rsid w:val="00B201DF"/>
    <w:rsid w:val="00B20240"/>
    <w:rsid w:val="00B228BF"/>
    <w:rsid w:val="00B23281"/>
    <w:rsid w:val="00B244C5"/>
    <w:rsid w:val="00B245C0"/>
    <w:rsid w:val="00B2502A"/>
    <w:rsid w:val="00B255CC"/>
    <w:rsid w:val="00B27571"/>
    <w:rsid w:val="00B30607"/>
    <w:rsid w:val="00B30CE4"/>
    <w:rsid w:val="00B326B1"/>
    <w:rsid w:val="00B34DEF"/>
    <w:rsid w:val="00B3583F"/>
    <w:rsid w:val="00B365B7"/>
    <w:rsid w:val="00B36DE6"/>
    <w:rsid w:val="00B37E29"/>
    <w:rsid w:val="00B37F9E"/>
    <w:rsid w:val="00B4009B"/>
    <w:rsid w:val="00B40A96"/>
    <w:rsid w:val="00B4164B"/>
    <w:rsid w:val="00B43BA6"/>
    <w:rsid w:val="00B43F9E"/>
    <w:rsid w:val="00B458DC"/>
    <w:rsid w:val="00B515D9"/>
    <w:rsid w:val="00B5409A"/>
    <w:rsid w:val="00B55574"/>
    <w:rsid w:val="00B56727"/>
    <w:rsid w:val="00B56B38"/>
    <w:rsid w:val="00B62BB4"/>
    <w:rsid w:val="00B647A1"/>
    <w:rsid w:val="00B6525D"/>
    <w:rsid w:val="00B65ABA"/>
    <w:rsid w:val="00B6641E"/>
    <w:rsid w:val="00B66A57"/>
    <w:rsid w:val="00B67097"/>
    <w:rsid w:val="00B6790F"/>
    <w:rsid w:val="00B7085D"/>
    <w:rsid w:val="00B71541"/>
    <w:rsid w:val="00B715FA"/>
    <w:rsid w:val="00B71B3B"/>
    <w:rsid w:val="00B7253E"/>
    <w:rsid w:val="00B76B2D"/>
    <w:rsid w:val="00B80E6D"/>
    <w:rsid w:val="00B81DC9"/>
    <w:rsid w:val="00B853DB"/>
    <w:rsid w:val="00B87D61"/>
    <w:rsid w:val="00B907C1"/>
    <w:rsid w:val="00B91DA0"/>
    <w:rsid w:val="00B93948"/>
    <w:rsid w:val="00B93EF6"/>
    <w:rsid w:val="00B95512"/>
    <w:rsid w:val="00B9672F"/>
    <w:rsid w:val="00B979A7"/>
    <w:rsid w:val="00BA04E5"/>
    <w:rsid w:val="00BA138B"/>
    <w:rsid w:val="00BA2DF5"/>
    <w:rsid w:val="00BA4263"/>
    <w:rsid w:val="00BA4BC7"/>
    <w:rsid w:val="00BA55B7"/>
    <w:rsid w:val="00BA5E47"/>
    <w:rsid w:val="00BA7D57"/>
    <w:rsid w:val="00BB0767"/>
    <w:rsid w:val="00BB0869"/>
    <w:rsid w:val="00BB156E"/>
    <w:rsid w:val="00BB1DEA"/>
    <w:rsid w:val="00BB20DE"/>
    <w:rsid w:val="00BB2347"/>
    <w:rsid w:val="00BB29D5"/>
    <w:rsid w:val="00BB3330"/>
    <w:rsid w:val="00BB47D7"/>
    <w:rsid w:val="00BB4A62"/>
    <w:rsid w:val="00BB5B89"/>
    <w:rsid w:val="00BB6B62"/>
    <w:rsid w:val="00BB7767"/>
    <w:rsid w:val="00BC01C1"/>
    <w:rsid w:val="00BC0DB9"/>
    <w:rsid w:val="00BC45A1"/>
    <w:rsid w:val="00BC4B07"/>
    <w:rsid w:val="00BC5A34"/>
    <w:rsid w:val="00BD0EC3"/>
    <w:rsid w:val="00BD17F5"/>
    <w:rsid w:val="00BD2D0B"/>
    <w:rsid w:val="00BD3D73"/>
    <w:rsid w:val="00BD6B1C"/>
    <w:rsid w:val="00BD6E05"/>
    <w:rsid w:val="00BD76AE"/>
    <w:rsid w:val="00BD7CDF"/>
    <w:rsid w:val="00BE0548"/>
    <w:rsid w:val="00BE2B64"/>
    <w:rsid w:val="00BE49F1"/>
    <w:rsid w:val="00BE4DD5"/>
    <w:rsid w:val="00BE4F3D"/>
    <w:rsid w:val="00BE5259"/>
    <w:rsid w:val="00BE54D0"/>
    <w:rsid w:val="00BF6B6C"/>
    <w:rsid w:val="00BF7251"/>
    <w:rsid w:val="00BF7F28"/>
    <w:rsid w:val="00C00008"/>
    <w:rsid w:val="00C005C1"/>
    <w:rsid w:val="00C00A01"/>
    <w:rsid w:val="00C01909"/>
    <w:rsid w:val="00C020BD"/>
    <w:rsid w:val="00C027AC"/>
    <w:rsid w:val="00C036C8"/>
    <w:rsid w:val="00C03C6B"/>
    <w:rsid w:val="00C05787"/>
    <w:rsid w:val="00C06FA1"/>
    <w:rsid w:val="00C1017A"/>
    <w:rsid w:val="00C11022"/>
    <w:rsid w:val="00C11871"/>
    <w:rsid w:val="00C13059"/>
    <w:rsid w:val="00C13FE8"/>
    <w:rsid w:val="00C156D4"/>
    <w:rsid w:val="00C15AA8"/>
    <w:rsid w:val="00C167A3"/>
    <w:rsid w:val="00C17493"/>
    <w:rsid w:val="00C213E4"/>
    <w:rsid w:val="00C213F6"/>
    <w:rsid w:val="00C21577"/>
    <w:rsid w:val="00C2181C"/>
    <w:rsid w:val="00C22508"/>
    <w:rsid w:val="00C22717"/>
    <w:rsid w:val="00C23AF3"/>
    <w:rsid w:val="00C23E69"/>
    <w:rsid w:val="00C2598E"/>
    <w:rsid w:val="00C2657D"/>
    <w:rsid w:val="00C26A87"/>
    <w:rsid w:val="00C32A9B"/>
    <w:rsid w:val="00C352FB"/>
    <w:rsid w:val="00C35B47"/>
    <w:rsid w:val="00C3652E"/>
    <w:rsid w:val="00C3745D"/>
    <w:rsid w:val="00C416E1"/>
    <w:rsid w:val="00C44AE4"/>
    <w:rsid w:val="00C45CD8"/>
    <w:rsid w:val="00C46C24"/>
    <w:rsid w:val="00C47BF8"/>
    <w:rsid w:val="00C50218"/>
    <w:rsid w:val="00C50A5B"/>
    <w:rsid w:val="00C516EC"/>
    <w:rsid w:val="00C51B1C"/>
    <w:rsid w:val="00C51EF2"/>
    <w:rsid w:val="00C52660"/>
    <w:rsid w:val="00C52FC6"/>
    <w:rsid w:val="00C53DCE"/>
    <w:rsid w:val="00C54733"/>
    <w:rsid w:val="00C547C0"/>
    <w:rsid w:val="00C56280"/>
    <w:rsid w:val="00C5641F"/>
    <w:rsid w:val="00C56657"/>
    <w:rsid w:val="00C56B31"/>
    <w:rsid w:val="00C57210"/>
    <w:rsid w:val="00C577E5"/>
    <w:rsid w:val="00C61100"/>
    <w:rsid w:val="00C619DC"/>
    <w:rsid w:val="00C62063"/>
    <w:rsid w:val="00C63066"/>
    <w:rsid w:val="00C63465"/>
    <w:rsid w:val="00C63969"/>
    <w:rsid w:val="00C655F2"/>
    <w:rsid w:val="00C65B4C"/>
    <w:rsid w:val="00C65B61"/>
    <w:rsid w:val="00C65C8B"/>
    <w:rsid w:val="00C66F7A"/>
    <w:rsid w:val="00C67AE4"/>
    <w:rsid w:val="00C67C1B"/>
    <w:rsid w:val="00C70841"/>
    <w:rsid w:val="00C70E53"/>
    <w:rsid w:val="00C72979"/>
    <w:rsid w:val="00C74391"/>
    <w:rsid w:val="00C76B04"/>
    <w:rsid w:val="00C811D4"/>
    <w:rsid w:val="00C81529"/>
    <w:rsid w:val="00C81BA6"/>
    <w:rsid w:val="00C8377C"/>
    <w:rsid w:val="00C83F9E"/>
    <w:rsid w:val="00C84726"/>
    <w:rsid w:val="00C85EB5"/>
    <w:rsid w:val="00C8703C"/>
    <w:rsid w:val="00C877CD"/>
    <w:rsid w:val="00C902E9"/>
    <w:rsid w:val="00C908B7"/>
    <w:rsid w:val="00C91D81"/>
    <w:rsid w:val="00C92A42"/>
    <w:rsid w:val="00C939C2"/>
    <w:rsid w:val="00C96736"/>
    <w:rsid w:val="00C969E4"/>
    <w:rsid w:val="00C96B60"/>
    <w:rsid w:val="00C97646"/>
    <w:rsid w:val="00CA166C"/>
    <w:rsid w:val="00CA18F2"/>
    <w:rsid w:val="00CA40A1"/>
    <w:rsid w:val="00CA4871"/>
    <w:rsid w:val="00CA4F83"/>
    <w:rsid w:val="00CA6722"/>
    <w:rsid w:val="00CA6D4E"/>
    <w:rsid w:val="00CA6D7C"/>
    <w:rsid w:val="00CA7B4B"/>
    <w:rsid w:val="00CB16CD"/>
    <w:rsid w:val="00CB36A8"/>
    <w:rsid w:val="00CB4071"/>
    <w:rsid w:val="00CB4AF6"/>
    <w:rsid w:val="00CB4FC7"/>
    <w:rsid w:val="00CB561B"/>
    <w:rsid w:val="00CB62B7"/>
    <w:rsid w:val="00CB76EF"/>
    <w:rsid w:val="00CC0522"/>
    <w:rsid w:val="00CC139A"/>
    <w:rsid w:val="00CC178F"/>
    <w:rsid w:val="00CC1E7A"/>
    <w:rsid w:val="00CC2239"/>
    <w:rsid w:val="00CC360B"/>
    <w:rsid w:val="00CC44AF"/>
    <w:rsid w:val="00CC4F00"/>
    <w:rsid w:val="00CC4F64"/>
    <w:rsid w:val="00CC6522"/>
    <w:rsid w:val="00CC6CFE"/>
    <w:rsid w:val="00CC764C"/>
    <w:rsid w:val="00CC7DFA"/>
    <w:rsid w:val="00CD00BB"/>
    <w:rsid w:val="00CD020E"/>
    <w:rsid w:val="00CD058C"/>
    <w:rsid w:val="00CD09AF"/>
    <w:rsid w:val="00CD3B98"/>
    <w:rsid w:val="00CD41B3"/>
    <w:rsid w:val="00CD4216"/>
    <w:rsid w:val="00CD4AD3"/>
    <w:rsid w:val="00CD518C"/>
    <w:rsid w:val="00CD5BB0"/>
    <w:rsid w:val="00CD733F"/>
    <w:rsid w:val="00CD7C65"/>
    <w:rsid w:val="00CE0942"/>
    <w:rsid w:val="00CE25AE"/>
    <w:rsid w:val="00CE4A6C"/>
    <w:rsid w:val="00CE4AF3"/>
    <w:rsid w:val="00CE5443"/>
    <w:rsid w:val="00CE5919"/>
    <w:rsid w:val="00CE5C5D"/>
    <w:rsid w:val="00CE7CA5"/>
    <w:rsid w:val="00CF0707"/>
    <w:rsid w:val="00CF1D81"/>
    <w:rsid w:val="00CF2016"/>
    <w:rsid w:val="00CF235D"/>
    <w:rsid w:val="00CF2DC9"/>
    <w:rsid w:val="00CF445F"/>
    <w:rsid w:val="00CF7A0C"/>
    <w:rsid w:val="00CF7CB6"/>
    <w:rsid w:val="00D000B0"/>
    <w:rsid w:val="00D009DD"/>
    <w:rsid w:val="00D02761"/>
    <w:rsid w:val="00D077EF"/>
    <w:rsid w:val="00D1096B"/>
    <w:rsid w:val="00D11241"/>
    <w:rsid w:val="00D11603"/>
    <w:rsid w:val="00D130BC"/>
    <w:rsid w:val="00D130D3"/>
    <w:rsid w:val="00D13825"/>
    <w:rsid w:val="00D17813"/>
    <w:rsid w:val="00D200BF"/>
    <w:rsid w:val="00D21D2B"/>
    <w:rsid w:val="00D25C3B"/>
    <w:rsid w:val="00D27668"/>
    <w:rsid w:val="00D27740"/>
    <w:rsid w:val="00D30F19"/>
    <w:rsid w:val="00D311AB"/>
    <w:rsid w:val="00D32290"/>
    <w:rsid w:val="00D325A8"/>
    <w:rsid w:val="00D32EEF"/>
    <w:rsid w:val="00D333C5"/>
    <w:rsid w:val="00D351FC"/>
    <w:rsid w:val="00D3582B"/>
    <w:rsid w:val="00D3587F"/>
    <w:rsid w:val="00D35A49"/>
    <w:rsid w:val="00D35F7A"/>
    <w:rsid w:val="00D40CCA"/>
    <w:rsid w:val="00D41BB9"/>
    <w:rsid w:val="00D442AD"/>
    <w:rsid w:val="00D47331"/>
    <w:rsid w:val="00D50252"/>
    <w:rsid w:val="00D52762"/>
    <w:rsid w:val="00D5544F"/>
    <w:rsid w:val="00D5618A"/>
    <w:rsid w:val="00D5784B"/>
    <w:rsid w:val="00D578D5"/>
    <w:rsid w:val="00D618B5"/>
    <w:rsid w:val="00D63EFB"/>
    <w:rsid w:val="00D658AF"/>
    <w:rsid w:val="00D66B0D"/>
    <w:rsid w:val="00D70A79"/>
    <w:rsid w:val="00D733E0"/>
    <w:rsid w:val="00D7425A"/>
    <w:rsid w:val="00D74B2E"/>
    <w:rsid w:val="00D75958"/>
    <w:rsid w:val="00D763AF"/>
    <w:rsid w:val="00D829CE"/>
    <w:rsid w:val="00D82FFF"/>
    <w:rsid w:val="00D83601"/>
    <w:rsid w:val="00D83DE9"/>
    <w:rsid w:val="00D8450D"/>
    <w:rsid w:val="00D86CBD"/>
    <w:rsid w:val="00D87967"/>
    <w:rsid w:val="00D9100C"/>
    <w:rsid w:val="00D93E33"/>
    <w:rsid w:val="00D95AF9"/>
    <w:rsid w:val="00D963BC"/>
    <w:rsid w:val="00DA03FF"/>
    <w:rsid w:val="00DA09C9"/>
    <w:rsid w:val="00DA1822"/>
    <w:rsid w:val="00DA20B0"/>
    <w:rsid w:val="00DB042B"/>
    <w:rsid w:val="00DB3930"/>
    <w:rsid w:val="00DB5189"/>
    <w:rsid w:val="00DB5E1F"/>
    <w:rsid w:val="00DC0E86"/>
    <w:rsid w:val="00DC19D8"/>
    <w:rsid w:val="00DC2613"/>
    <w:rsid w:val="00DC4512"/>
    <w:rsid w:val="00DC63DB"/>
    <w:rsid w:val="00DD1970"/>
    <w:rsid w:val="00DD3691"/>
    <w:rsid w:val="00DD47EB"/>
    <w:rsid w:val="00DD4B55"/>
    <w:rsid w:val="00DD6521"/>
    <w:rsid w:val="00DE0A30"/>
    <w:rsid w:val="00DE0D05"/>
    <w:rsid w:val="00DE1E90"/>
    <w:rsid w:val="00DE24E6"/>
    <w:rsid w:val="00DE27D0"/>
    <w:rsid w:val="00DE5C8A"/>
    <w:rsid w:val="00DE65DF"/>
    <w:rsid w:val="00DF07AD"/>
    <w:rsid w:val="00DF163D"/>
    <w:rsid w:val="00DF1E7B"/>
    <w:rsid w:val="00DF204D"/>
    <w:rsid w:val="00DF3364"/>
    <w:rsid w:val="00DF50E9"/>
    <w:rsid w:val="00DF7711"/>
    <w:rsid w:val="00DF7740"/>
    <w:rsid w:val="00E00611"/>
    <w:rsid w:val="00E0079B"/>
    <w:rsid w:val="00E03333"/>
    <w:rsid w:val="00E055BB"/>
    <w:rsid w:val="00E11988"/>
    <w:rsid w:val="00E11C08"/>
    <w:rsid w:val="00E11CE9"/>
    <w:rsid w:val="00E13AE1"/>
    <w:rsid w:val="00E13B8F"/>
    <w:rsid w:val="00E14DD1"/>
    <w:rsid w:val="00E1522A"/>
    <w:rsid w:val="00E15C2C"/>
    <w:rsid w:val="00E15DA9"/>
    <w:rsid w:val="00E164C5"/>
    <w:rsid w:val="00E2095D"/>
    <w:rsid w:val="00E20B6F"/>
    <w:rsid w:val="00E23618"/>
    <w:rsid w:val="00E24956"/>
    <w:rsid w:val="00E27BCC"/>
    <w:rsid w:val="00E30414"/>
    <w:rsid w:val="00E35B3B"/>
    <w:rsid w:val="00E37755"/>
    <w:rsid w:val="00E40452"/>
    <w:rsid w:val="00E40769"/>
    <w:rsid w:val="00E42E8B"/>
    <w:rsid w:val="00E44804"/>
    <w:rsid w:val="00E44BFC"/>
    <w:rsid w:val="00E44DCF"/>
    <w:rsid w:val="00E4551A"/>
    <w:rsid w:val="00E469AA"/>
    <w:rsid w:val="00E47F5E"/>
    <w:rsid w:val="00E51FB2"/>
    <w:rsid w:val="00E55BBD"/>
    <w:rsid w:val="00E56423"/>
    <w:rsid w:val="00E574A6"/>
    <w:rsid w:val="00E577EF"/>
    <w:rsid w:val="00E60F12"/>
    <w:rsid w:val="00E64E12"/>
    <w:rsid w:val="00E652FB"/>
    <w:rsid w:val="00E65DBE"/>
    <w:rsid w:val="00E65FD7"/>
    <w:rsid w:val="00E66C20"/>
    <w:rsid w:val="00E71C46"/>
    <w:rsid w:val="00E72236"/>
    <w:rsid w:val="00E72444"/>
    <w:rsid w:val="00E72C9A"/>
    <w:rsid w:val="00E731B7"/>
    <w:rsid w:val="00E74794"/>
    <w:rsid w:val="00E74CFE"/>
    <w:rsid w:val="00E75756"/>
    <w:rsid w:val="00E75ED2"/>
    <w:rsid w:val="00E76D9F"/>
    <w:rsid w:val="00E771B1"/>
    <w:rsid w:val="00E777DD"/>
    <w:rsid w:val="00E8280C"/>
    <w:rsid w:val="00E83E4C"/>
    <w:rsid w:val="00E86C75"/>
    <w:rsid w:val="00E87BCE"/>
    <w:rsid w:val="00E90BD9"/>
    <w:rsid w:val="00E91933"/>
    <w:rsid w:val="00E91C29"/>
    <w:rsid w:val="00E91FBB"/>
    <w:rsid w:val="00E92A81"/>
    <w:rsid w:val="00E93292"/>
    <w:rsid w:val="00E938C0"/>
    <w:rsid w:val="00E945BD"/>
    <w:rsid w:val="00E946FE"/>
    <w:rsid w:val="00E94FCD"/>
    <w:rsid w:val="00E9637F"/>
    <w:rsid w:val="00E969B1"/>
    <w:rsid w:val="00E96C2D"/>
    <w:rsid w:val="00E970B0"/>
    <w:rsid w:val="00E9796C"/>
    <w:rsid w:val="00EA0CAF"/>
    <w:rsid w:val="00EA1C99"/>
    <w:rsid w:val="00EA267A"/>
    <w:rsid w:val="00EA44AB"/>
    <w:rsid w:val="00EA7D6E"/>
    <w:rsid w:val="00EB0CFC"/>
    <w:rsid w:val="00EB0ED7"/>
    <w:rsid w:val="00EB6552"/>
    <w:rsid w:val="00EC18E6"/>
    <w:rsid w:val="00EC1984"/>
    <w:rsid w:val="00EC1B16"/>
    <w:rsid w:val="00EC234C"/>
    <w:rsid w:val="00EC6721"/>
    <w:rsid w:val="00ED0115"/>
    <w:rsid w:val="00ED3529"/>
    <w:rsid w:val="00ED40B2"/>
    <w:rsid w:val="00ED4D17"/>
    <w:rsid w:val="00ED5B2B"/>
    <w:rsid w:val="00EE051A"/>
    <w:rsid w:val="00EE0784"/>
    <w:rsid w:val="00EE0A8A"/>
    <w:rsid w:val="00EE1DD0"/>
    <w:rsid w:val="00EE2B2E"/>
    <w:rsid w:val="00EE3D6E"/>
    <w:rsid w:val="00EE4980"/>
    <w:rsid w:val="00EE6CD3"/>
    <w:rsid w:val="00EF1C04"/>
    <w:rsid w:val="00EF20D7"/>
    <w:rsid w:val="00EF224F"/>
    <w:rsid w:val="00EF2767"/>
    <w:rsid w:val="00EF3419"/>
    <w:rsid w:val="00EF359E"/>
    <w:rsid w:val="00EF35E9"/>
    <w:rsid w:val="00F01076"/>
    <w:rsid w:val="00F0119C"/>
    <w:rsid w:val="00F018C1"/>
    <w:rsid w:val="00F02BDB"/>
    <w:rsid w:val="00F041F6"/>
    <w:rsid w:val="00F0441B"/>
    <w:rsid w:val="00F075D8"/>
    <w:rsid w:val="00F07623"/>
    <w:rsid w:val="00F07D0B"/>
    <w:rsid w:val="00F11B5D"/>
    <w:rsid w:val="00F134D2"/>
    <w:rsid w:val="00F17D7C"/>
    <w:rsid w:val="00F2073E"/>
    <w:rsid w:val="00F21428"/>
    <w:rsid w:val="00F2518C"/>
    <w:rsid w:val="00F2573F"/>
    <w:rsid w:val="00F25915"/>
    <w:rsid w:val="00F312D5"/>
    <w:rsid w:val="00F3136B"/>
    <w:rsid w:val="00F314F1"/>
    <w:rsid w:val="00F31A4E"/>
    <w:rsid w:val="00F325E5"/>
    <w:rsid w:val="00F327EA"/>
    <w:rsid w:val="00F33641"/>
    <w:rsid w:val="00F35D54"/>
    <w:rsid w:val="00F37BAE"/>
    <w:rsid w:val="00F427B3"/>
    <w:rsid w:val="00F42842"/>
    <w:rsid w:val="00F43EE0"/>
    <w:rsid w:val="00F456F0"/>
    <w:rsid w:val="00F46266"/>
    <w:rsid w:val="00F46353"/>
    <w:rsid w:val="00F46673"/>
    <w:rsid w:val="00F46E40"/>
    <w:rsid w:val="00F4760A"/>
    <w:rsid w:val="00F51627"/>
    <w:rsid w:val="00F529FE"/>
    <w:rsid w:val="00F52B8E"/>
    <w:rsid w:val="00F53189"/>
    <w:rsid w:val="00F53CFD"/>
    <w:rsid w:val="00F54A06"/>
    <w:rsid w:val="00F54AF5"/>
    <w:rsid w:val="00F557E3"/>
    <w:rsid w:val="00F57123"/>
    <w:rsid w:val="00F603BE"/>
    <w:rsid w:val="00F6045D"/>
    <w:rsid w:val="00F61C07"/>
    <w:rsid w:val="00F61E78"/>
    <w:rsid w:val="00F635C5"/>
    <w:rsid w:val="00F6469E"/>
    <w:rsid w:val="00F674C6"/>
    <w:rsid w:val="00F67EB2"/>
    <w:rsid w:val="00F71763"/>
    <w:rsid w:val="00F71D49"/>
    <w:rsid w:val="00F72527"/>
    <w:rsid w:val="00F73330"/>
    <w:rsid w:val="00F736E3"/>
    <w:rsid w:val="00F75A7D"/>
    <w:rsid w:val="00F767E8"/>
    <w:rsid w:val="00F77A81"/>
    <w:rsid w:val="00F80A46"/>
    <w:rsid w:val="00F81CE4"/>
    <w:rsid w:val="00F82F92"/>
    <w:rsid w:val="00F86A3F"/>
    <w:rsid w:val="00F91297"/>
    <w:rsid w:val="00F9133B"/>
    <w:rsid w:val="00F91C18"/>
    <w:rsid w:val="00F97730"/>
    <w:rsid w:val="00F97937"/>
    <w:rsid w:val="00FA047B"/>
    <w:rsid w:val="00FA0F1C"/>
    <w:rsid w:val="00FA25D1"/>
    <w:rsid w:val="00FA2CC2"/>
    <w:rsid w:val="00FB0DEE"/>
    <w:rsid w:val="00FB17A9"/>
    <w:rsid w:val="00FB32A4"/>
    <w:rsid w:val="00FB3DEC"/>
    <w:rsid w:val="00FB4632"/>
    <w:rsid w:val="00FB48C3"/>
    <w:rsid w:val="00FB594D"/>
    <w:rsid w:val="00FB6410"/>
    <w:rsid w:val="00FB70B8"/>
    <w:rsid w:val="00FB7F12"/>
    <w:rsid w:val="00FC49BB"/>
    <w:rsid w:val="00FD0556"/>
    <w:rsid w:val="00FD1049"/>
    <w:rsid w:val="00FD2ECC"/>
    <w:rsid w:val="00FD5C4F"/>
    <w:rsid w:val="00FD611D"/>
    <w:rsid w:val="00FD616B"/>
    <w:rsid w:val="00FD6889"/>
    <w:rsid w:val="00FD69EA"/>
    <w:rsid w:val="00FE03F5"/>
    <w:rsid w:val="00FE3252"/>
    <w:rsid w:val="00FE32A9"/>
    <w:rsid w:val="00FE367F"/>
    <w:rsid w:val="00FE3E99"/>
    <w:rsid w:val="00FE5595"/>
    <w:rsid w:val="00FE7F97"/>
    <w:rsid w:val="00FF06DB"/>
    <w:rsid w:val="00FF25D9"/>
    <w:rsid w:val="00FF29DC"/>
    <w:rsid w:val="00FF3ACD"/>
    <w:rsid w:val="00FF740B"/>
    <w:rsid w:val="00FF766F"/>
    <w:rsid w:val="01154899"/>
    <w:rsid w:val="015EA4F2"/>
    <w:rsid w:val="022550A4"/>
    <w:rsid w:val="03B72933"/>
    <w:rsid w:val="03E9937D"/>
    <w:rsid w:val="040440FD"/>
    <w:rsid w:val="043084C5"/>
    <w:rsid w:val="0537E593"/>
    <w:rsid w:val="066BDE91"/>
    <w:rsid w:val="068BDA86"/>
    <w:rsid w:val="06C73C5D"/>
    <w:rsid w:val="06FCD7DD"/>
    <w:rsid w:val="076A6BC0"/>
    <w:rsid w:val="0787C0C6"/>
    <w:rsid w:val="07BAFE49"/>
    <w:rsid w:val="07F86B39"/>
    <w:rsid w:val="087FE073"/>
    <w:rsid w:val="09EED0DC"/>
    <w:rsid w:val="0A84D501"/>
    <w:rsid w:val="0ABAEDFE"/>
    <w:rsid w:val="0B54A8CB"/>
    <w:rsid w:val="0B7A5D61"/>
    <w:rsid w:val="0C16FC9B"/>
    <w:rsid w:val="0C1AB899"/>
    <w:rsid w:val="0C29F511"/>
    <w:rsid w:val="0C5BE244"/>
    <w:rsid w:val="0CC6C13E"/>
    <w:rsid w:val="0CDC9F5A"/>
    <w:rsid w:val="0D12DA3E"/>
    <w:rsid w:val="0D162DC2"/>
    <w:rsid w:val="0D1A5588"/>
    <w:rsid w:val="0D2D6FC4"/>
    <w:rsid w:val="0D9BAD55"/>
    <w:rsid w:val="0DA34D66"/>
    <w:rsid w:val="0DE07083"/>
    <w:rsid w:val="0E550ADA"/>
    <w:rsid w:val="0EDC32FF"/>
    <w:rsid w:val="0EEAF350"/>
    <w:rsid w:val="0F3F1DC7"/>
    <w:rsid w:val="0FAB3F6F"/>
    <w:rsid w:val="105677C3"/>
    <w:rsid w:val="1058FCE1"/>
    <w:rsid w:val="10AC0116"/>
    <w:rsid w:val="11DFBB7F"/>
    <w:rsid w:val="130DBF35"/>
    <w:rsid w:val="133ABA59"/>
    <w:rsid w:val="13917284"/>
    <w:rsid w:val="13A1B13C"/>
    <w:rsid w:val="13F3AB8C"/>
    <w:rsid w:val="14B7E9DD"/>
    <w:rsid w:val="14D0C93E"/>
    <w:rsid w:val="14F23E58"/>
    <w:rsid w:val="1589CBF5"/>
    <w:rsid w:val="15DBBB55"/>
    <w:rsid w:val="1616FD36"/>
    <w:rsid w:val="16672024"/>
    <w:rsid w:val="168D4584"/>
    <w:rsid w:val="17BC0158"/>
    <w:rsid w:val="17E073E4"/>
    <w:rsid w:val="17EFA9FA"/>
    <w:rsid w:val="17F7E90B"/>
    <w:rsid w:val="184D4449"/>
    <w:rsid w:val="1881E8B3"/>
    <w:rsid w:val="188CF0DA"/>
    <w:rsid w:val="197BA125"/>
    <w:rsid w:val="1A2A7EC9"/>
    <w:rsid w:val="1BAF57D1"/>
    <w:rsid w:val="1BB8A573"/>
    <w:rsid w:val="1C36638A"/>
    <w:rsid w:val="1C9353E6"/>
    <w:rsid w:val="1CC71254"/>
    <w:rsid w:val="1D1BAE2D"/>
    <w:rsid w:val="1D53F497"/>
    <w:rsid w:val="1D621F8B"/>
    <w:rsid w:val="1D79565C"/>
    <w:rsid w:val="1DDF8924"/>
    <w:rsid w:val="1E5909AC"/>
    <w:rsid w:val="1EB2596F"/>
    <w:rsid w:val="1F6E044C"/>
    <w:rsid w:val="200C983D"/>
    <w:rsid w:val="20320117"/>
    <w:rsid w:val="222B511A"/>
    <w:rsid w:val="22418F45"/>
    <w:rsid w:val="227F268A"/>
    <w:rsid w:val="22929DB0"/>
    <w:rsid w:val="22B057EF"/>
    <w:rsid w:val="22DF1C83"/>
    <w:rsid w:val="22E08261"/>
    <w:rsid w:val="22F3225E"/>
    <w:rsid w:val="23371F49"/>
    <w:rsid w:val="233DCFBD"/>
    <w:rsid w:val="2345941B"/>
    <w:rsid w:val="245C030B"/>
    <w:rsid w:val="24C1C319"/>
    <w:rsid w:val="266B3915"/>
    <w:rsid w:val="26AF5644"/>
    <w:rsid w:val="27080416"/>
    <w:rsid w:val="273B4AA5"/>
    <w:rsid w:val="275A83E4"/>
    <w:rsid w:val="275EE33E"/>
    <w:rsid w:val="2784C5DB"/>
    <w:rsid w:val="27930C55"/>
    <w:rsid w:val="27B0AA98"/>
    <w:rsid w:val="287EB60B"/>
    <w:rsid w:val="2891E77E"/>
    <w:rsid w:val="28AB4735"/>
    <w:rsid w:val="29333B51"/>
    <w:rsid w:val="29B71BDC"/>
    <w:rsid w:val="2A85F98C"/>
    <w:rsid w:val="2AB026F1"/>
    <w:rsid w:val="2ACBDF2D"/>
    <w:rsid w:val="2B033189"/>
    <w:rsid w:val="2B7B54B3"/>
    <w:rsid w:val="2C4B9A04"/>
    <w:rsid w:val="2C89E8CA"/>
    <w:rsid w:val="2D5D0B6F"/>
    <w:rsid w:val="2D8673A4"/>
    <w:rsid w:val="2DF3D589"/>
    <w:rsid w:val="2E4D9DBC"/>
    <w:rsid w:val="2E637037"/>
    <w:rsid w:val="2E64623F"/>
    <w:rsid w:val="2E76C3DA"/>
    <w:rsid w:val="2E8B9682"/>
    <w:rsid w:val="2EC30721"/>
    <w:rsid w:val="2F0EE7C9"/>
    <w:rsid w:val="3012EB5D"/>
    <w:rsid w:val="301EBDCC"/>
    <w:rsid w:val="305816A6"/>
    <w:rsid w:val="3143E114"/>
    <w:rsid w:val="3196C750"/>
    <w:rsid w:val="3220ED98"/>
    <w:rsid w:val="343DE0DA"/>
    <w:rsid w:val="3467A179"/>
    <w:rsid w:val="347259A6"/>
    <w:rsid w:val="34ECC570"/>
    <w:rsid w:val="358B42C0"/>
    <w:rsid w:val="363B3118"/>
    <w:rsid w:val="36ED2201"/>
    <w:rsid w:val="3735F517"/>
    <w:rsid w:val="3746590B"/>
    <w:rsid w:val="379432F0"/>
    <w:rsid w:val="37ECCC67"/>
    <w:rsid w:val="37FFE06B"/>
    <w:rsid w:val="39A74DB1"/>
    <w:rsid w:val="39AF8DD0"/>
    <w:rsid w:val="3A043E0D"/>
    <w:rsid w:val="3A3A5D29"/>
    <w:rsid w:val="3A9FF6C4"/>
    <w:rsid w:val="3AB9FA7D"/>
    <w:rsid w:val="3B1642FA"/>
    <w:rsid w:val="3B459571"/>
    <w:rsid w:val="3B7A686C"/>
    <w:rsid w:val="3BB9F101"/>
    <w:rsid w:val="3BD235F4"/>
    <w:rsid w:val="3BFB5925"/>
    <w:rsid w:val="3C9BFD57"/>
    <w:rsid w:val="3CEEF680"/>
    <w:rsid w:val="3D2BE818"/>
    <w:rsid w:val="3D576B40"/>
    <w:rsid w:val="3DA80098"/>
    <w:rsid w:val="3DAA97E9"/>
    <w:rsid w:val="3DF0706C"/>
    <w:rsid w:val="3E37CDB8"/>
    <w:rsid w:val="3F18FCA9"/>
    <w:rsid w:val="3F4E362D"/>
    <w:rsid w:val="3F8C40CD"/>
    <w:rsid w:val="41FFE1A2"/>
    <w:rsid w:val="422CCD72"/>
    <w:rsid w:val="44D24D2C"/>
    <w:rsid w:val="44D2A213"/>
    <w:rsid w:val="45276927"/>
    <w:rsid w:val="45D4422E"/>
    <w:rsid w:val="467C0120"/>
    <w:rsid w:val="46B46F67"/>
    <w:rsid w:val="46FAF6F0"/>
    <w:rsid w:val="470F34B4"/>
    <w:rsid w:val="47A5623E"/>
    <w:rsid w:val="47A82E42"/>
    <w:rsid w:val="484DF611"/>
    <w:rsid w:val="48D8DD08"/>
    <w:rsid w:val="4B0EF198"/>
    <w:rsid w:val="4B28C51F"/>
    <w:rsid w:val="4B6F103A"/>
    <w:rsid w:val="4BBF86A3"/>
    <w:rsid w:val="4BCF94E8"/>
    <w:rsid w:val="4C80BECC"/>
    <w:rsid w:val="4CC49580"/>
    <w:rsid w:val="4D14229E"/>
    <w:rsid w:val="4DEB6D63"/>
    <w:rsid w:val="4E25810C"/>
    <w:rsid w:val="4E6065E1"/>
    <w:rsid w:val="4F08D05B"/>
    <w:rsid w:val="4F6A9740"/>
    <w:rsid w:val="4F72D127"/>
    <w:rsid w:val="4F868444"/>
    <w:rsid w:val="5096E73B"/>
    <w:rsid w:val="50979EC3"/>
    <w:rsid w:val="517A4304"/>
    <w:rsid w:val="5186523D"/>
    <w:rsid w:val="52678D57"/>
    <w:rsid w:val="528BC996"/>
    <w:rsid w:val="52F0A002"/>
    <w:rsid w:val="538E8EBC"/>
    <w:rsid w:val="53F6F440"/>
    <w:rsid w:val="550A97CD"/>
    <w:rsid w:val="556FED84"/>
    <w:rsid w:val="5581F8C3"/>
    <w:rsid w:val="55B7C792"/>
    <w:rsid w:val="55C0E6BB"/>
    <w:rsid w:val="55C36A58"/>
    <w:rsid w:val="567C4DF6"/>
    <w:rsid w:val="56D6C1CA"/>
    <w:rsid w:val="56E8084F"/>
    <w:rsid w:val="57533377"/>
    <w:rsid w:val="575F3AB9"/>
    <w:rsid w:val="588EB97D"/>
    <w:rsid w:val="5890AA84"/>
    <w:rsid w:val="58DB6B21"/>
    <w:rsid w:val="5913365D"/>
    <w:rsid w:val="5936DFED"/>
    <w:rsid w:val="59B60F33"/>
    <w:rsid w:val="5A4B504A"/>
    <w:rsid w:val="5AA3598B"/>
    <w:rsid w:val="5AE7125A"/>
    <w:rsid w:val="5AF258A8"/>
    <w:rsid w:val="5B557AD4"/>
    <w:rsid w:val="5B625536"/>
    <w:rsid w:val="5B6483C3"/>
    <w:rsid w:val="5B6AD3CD"/>
    <w:rsid w:val="5BBC8210"/>
    <w:rsid w:val="5BF13A47"/>
    <w:rsid w:val="5D2F180E"/>
    <w:rsid w:val="5E5CDC4C"/>
    <w:rsid w:val="5EE083FC"/>
    <w:rsid w:val="5EEC1382"/>
    <w:rsid w:val="5EF33806"/>
    <w:rsid w:val="5F88F70C"/>
    <w:rsid w:val="5FD1A048"/>
    <w:rsid w:val="60355A9B"/>
    <w:rsid w:val="605C3B94"/>
    <w:rsid w:val="6095A364"/>
    <w:rsid w:val="61BC8415"/>
    <w:rsid w:val="6245BC16"/>
    <w:rsid w:val="625B5545"/>
    <w:rsid w:val="6287D5E5"/>
    <w:rsid w:val="637FD6BE"/>
    <w:rsid w:val="6397DB62"/>
    <w:rsid w:val="63C466A8"/>
    <w:rsid w:val="63E0F2A1"/>
    <w:rsid w:val="6560FEB2"/>
    <w:rsid w:val="65905129"/>
    <w:rsid w:val="66913636"/>
    <w:rsid w:val="66DDFD0A"/>
    <w:rsid w:val="6958E342"/>
    <w:rsid w:val="698A7B84"/>
    <w:rsid w:val="6999DEFA"/>
    <w:rsid w:val="69DAAD5D"/>
    <w:rsid w:val="69FE4D09"/>
    <w:rsid w:val="6A2919DD"/>
    <w:rsid w:val="6A680CD8"/>
    <w:rsid w:val="6A79653B"/>
    <w:rsid w:val="6A9CBA12"/>
    <w:rsid w:val="6AF77845"/>
    <w:rsid w:val="6B696F33"/>
    <w:rsid w:val="6BC29418"/>
    <w:rsid w:val="6C3BB1A1"/>
    <w:rsid w:val="6D0EEB96"/>
    <w:rsid w:val="6D236A3C"/>
    <w:rsid w:val="6D4D3E8E"/>
    <w:rsid w:val="6D87B841"/>
    <w:rsid w:val="6DEA9EE1"/>
    <w:rsid w:val="6E26C6DA"/>
    <w:rsid w:val="6E65B78E"/>
    <w:rsid w:val="6F917521"/>
    <w:rsid w:val="7007DB2A"/>
    <w:rsid w:val="708A8B9C"/>
    <w:rsid w:val="7136D7BC"/>
    <w:rsid w:val="71F682B5"/>
    <w:rsid w:val="71FCFF30"/>
    <w:rsid w:val="72013E53"/>
    <w:rsid w:val="7224FA3C"/>
    <w:rsid w:val="7247AABE"/>
    <w:rsid w:val="729061C8"/>
    <w:rsid w:val="72E55DA4"/>
    <w:rsid w:val="72EB93F6"/>
    <w:rsid w:val="73D4A740"/>
    <w:rsid w:val="74068BD5"/>
    <w:rsid w:val="752E09E5"/>
    <w:rsid w:val="75B03D0E"/>
    <w:rsid w:val="75C76B12"/>
    <w:rsid w:val="76539737"/>
    <w:rsid w:val="772E37B7"/>
    <w:rsid w:val="77C6540D"/>
    <w:rsid w:val="78483CCF"/>
    <w:rsid w:val="789FC3B9"/>
    <w:rsid w:val="790EBB4E"/>
    <w:rsid w:val="7913614E"/>
    <w:rsid w:val="79BE2DDB"/>
    <w:rsid w:val="7A45FB42"/>
    <w:rsid w:val="7A6D69B4"/>
    <w:rsid w:val="7BF3D73E"/>
    <w:rsid w:val="7D49634E"/>
    <w:rsid w:val="7DEBDF64"/>
    <w:rsid w:val="7E1EFD39"/>
    <w:rsid w:val="7E25F470"/>
    <w:rsid w:val="7E39F065"/>
    <w:rsid w:val="7EB1AF31"/>
    <w:rsid w:val="7EE4C63C"/>
    <w:rsid w:val="7EFCE06C"/>
    <w:rsid w:val="7F5AF9C0"/>
    <w:rsid w:val="7FAC471E"/>
    <w:rsid w:val="7FB8B02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B529E0"/>
  <w15:docId w15:val="{299F29A9-B086-4854-A29C-49183A55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DHHSbody"/>
    <w:link w:val="Heading1Char"/>
    <w:uiPriority w:val="1"/>
    <w:qFormat/>
    <w:rsid w:val="00B12DCE"/>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12DCE"/>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2DCE"/>
    <w:rPr>
      <w:rFonts w:ascii="Arial" w:hAnsi="Arial"/>
      <w:bCs/>
      <w:color w:val="004C97"/>
      <w:sz w:val="44"/>
      <w:szCs w:val="44"/>
      <w:lang w:eastAsia="en-US"/>
    </w:rPr>
  </w:style>
  <w:style w:type="character" w:customStyle="1" w:styleId="Heading2Char">
    <w:name w:val="Heading 2 Char"/>
    <w:link w:val="Heading2"/>
    <w:uiPriority w:val="1"/>
    <w:rsid w:val="00B12DCE"/>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141A3F"/>
    <w:pPr>
      <w:keepLines/>
      <w:spacing w:after="240" w:line="580" w:lineRule="atLeast"/>
    </w:pPr>
    <w:rPr>
      <w:rFonts w:ascii="Arial" w:hAnsi="Arial"/>
      <w:color w:val="004C97"/>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B12DCE"/>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141A3F"/>
    <w:pPr>
      <w:spacing w:before="0"/>
      <w:outlineLvl w:val="9"/>
    </w:pPr>
  </w:style>
  <w:style w:type="character" w:customStyle="1" w:styleId="DHHSTOCheadingreportChar">
    <w:name w:val="DHHS TOC heading report Char"/>
    <w:link w:val="DHHSTOCheadingreport"/>
    <w:uiPriority w:val="5"/>
    <w:rsid w:val="00141A3F"/>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35"/>
      </w:numPr>
    </w:pPr>
  </w:style>
  <w:style w:type="paragraph" w:customStyle="1" w:styleId="DHHSnumberlowerroman">
    <w:name w:val="DHHS number lower roman"/>
    <w:basedOn w:val="DHHSbody"/>
    <w:uiPriority w:val="3"/>
    <w:rsid w:val="008669BE"/>
    <w:pPr>
      <w:numPr>
        <w:numId w:val="5"/>
      </w:numPr>
    </w:pPr>
  </w:style>
  <w:style w:type="paragraph" w:customStyle="1" w:styleId="DHHSnumberlowerromanindent">
    <w:name w:val="DHHS number lower roman indent"/>
    <w:basedOn w:val="DHHSbody"/>
    <w:uiPriority w:val="3"/>
    <w:rsid w:val="008669BE"/>
    <w:pPr>
      <w:numPr>
        <w:ilvl w:val="1"/>
        <w:numId w:val="5"/>
      </w:numPr>
    </w:pPr>
  </w:style>
  <w:style w:type="paragraph" w:customStyle="1" w:styleId="DHHSnumberdigitindent">
    <w:name w:val="DHHS number digit indent"/>
    <w:basedOn w:val="DHHSnumberloweralphaindent"/>
    <w:uiPriority w:val="3"/>
    <w:rsid w:val="008669BE"/>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2"/>
      </w:numPr>
    </w:pPr>
  </w:style>
  <w:style w:type="paragraph" w:customStyle="1" w:styleId="DHHSbulletafternumbers2">
    <w:name w:val="DHHS bullet after numbers 2"/>
    <w:basedOn w:val="DHHSbody"/>
    <w:rsid w:val="008669BE"/>
    <w:pPr>
      <w:numPr>
        <w:ilvl w:val="3"/>
        <w:numId w:val="2"/>
      </w:numPr>
    </w:pPr>
  </w:style>
  <w:style w:type="paragraph" w:customStyle="1" w:styleId="DHHSquotebullet1">
    <w:name w:val="DHHS quote bullet 1"/>
    <w:basedOn w:val="DHHSquote"/>
    <w:rsid w:val="008669BE"/>
    <w:pPr>
      <w:numPr>
        <w:numId w:val="6"/>
      </w:numPr>
    </w:pPr>
  </w:style>
  <w:style w:type="paragraph" w:customStyle="1" w:styleId="DHHSquotebullet2">
    <w:name w:val="DHHS quote bullet 2"/>
    <w:basedOn w:val="DHHSquote"/>
    <w:rsid w:val="008669BE"/>
    <w:pPr>
      <w:numPr>
        <w:ilvl w:val="1"/>
        <w:numId w:val="6"/>
      </w:numPr>
    </w:pPr>
  </w:style>
  <w:style w:type="paragraph" w:customStyle="1" w:styleId="DHHStablebullet1">
    <w:name w:val="DHHS table bullet 1"/>
    <w:basedOn w:val="DHHStabletext"/>
    <w:uiPriority w:val="3"/>
    <w:qFormat/>
    <w:rsid w:val="008669BE"/>
    <w:pPr>
      <w:numPr>
        <w:numId w:val="7"/>
      </w:numPr>
    </w:pPr>
  </w:style>
  <w:style w:type="paragraph" w:customStyle="1" w:styleId="DHHStablebullet2">
    <w:name w:val="DHHS table bullet 2"/>
    <w:basedOn w:val="DHHStabletext"/>
    <w:uiPriority w:val="11"/>
    <w:rsid w:val="008669BE"/>
    <w:pPr>
      <w:numPr>
        <w:ilvl w:val="1"/>
        <w:numId w:val="7"/>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odyText">
    <w:name w:val="Body Text"/>
    <w:aliases w:val="Left:  0.5 cm"/>
    <w:basedOn w:val="Normal"/>
    <w:link w:val="BodyTextChar"/>
    <w:rsid w:val="00003734"/>
    <w:pPr>
      <w:spacing w:after="240"/>
      <w:jc w:val="both"/>
    </w:pPr>
    <w:rPr>
      <w:rFonts w:ascii="Verdana" w:hAnsi="Verdana"/>
    </w:rPr>
  </w:style>
  <w:style w:type="character" w:customStyle="1" w:styleId="BodyTextChar">
    <w:name w:val="Body Text Char"/>
    <w:aliases w:val="Left:  0.5 cm Char"/>
    <w:basedOn w:val="DefaultParagraphFont"/>
    <w:link w:val="BodyText"/>
    <w:rsid w:val="00003734"/>
    <w:rPr>
      <w:rFonts w:ascii="Verdana" w:hAnsi="Verdana"/>
      <w:lang w:eastAsia="en-US"/>
    </w:rPr>
  </w:style>
  <w:style w:type="character" w:customStyle="1" w:styleId="FootnoteTextChar">
    <w:name w:val="Footnote Text Char"/>
    <w:link w:val="FootnoteText"/>
    <w:rsid w:val="00003734"/>
    <w:rPr>
      <w:rFonts w:ascii="Arial" w:eastAsia="MS Gothic" w:hAnsi="Arial" w:cs="Arial"/>
      <w:sz w:val="16"/>
      <w:szCs w:val="16"/>
      <w:lang w:eastAsia="en-US"/>
    </w:rPr>
  </w:style>
  <w:style w:type="paragraph" w:customStyle="1" w:styleId="Default">
    <w:name w:val="Default"/>
    <w:rsid w:val="00003734"/>
    <w:pPr>
      <w:autoSpaceDE w:val="0"/>
      <w:autoSpaceDN w:val="0"/>
      <w:adjustRightInd w:val="0"/>
    </w:pPr>
    <w:rPr>
      <w:rFonts w:ascii="Verdana" w:hAnsi="Verdana" w:cs="Verdana"/>
      <w:color w:val="000000"/>
      <w:sz w:val="24"/>
      <w:szCs w:val="24"/>
    </w:rPr>
  </w:style>
  <w:style w:type="paragraph" w:customStyle="1" w:styleId="DHSText12pt">
    <w:name w:val="DHS Text 12pt"/>
    <w:basedOn w:val="Normal"/>
    <w:rsid w:val="00003734"/>
    <w:pPr>
      <w:widowControl w:val="0"/>
      <w:overflowPunct w:val="0"/>
      <w:autoSpaceDE w:val="0"/>
      <w:autoSpaceDN w:val="0"/>
      <w:adjustRightInd w:val="0"/>
      <w:textAlignment w:val="baseline"/>
    </w:pPr>
    <w:rPr>
      <w:rFonts w:ascii="Helvetica" w:hAnsi="Helvetica"/>
      <w:bCs/>
      <w:sz w:val="24"/>
    </w:rPr>
  </w:style>
  <w:style w:type="paragraph" w:styleId="BodyTextIndent3">
    <w:name w:val="Body Text Indent 3"/>
    <w:basedOn w:val="Normal"/>
    <w:link w:val="BodyTextIndent3Char"/>
    <w:uiPriority w:val="99"/>
    <w:semiHidden/>
    <w:unhideWhenUsed/>
    <w:rsid w:val="000037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3734"/>
    <w:rPr>
      <w:rFonts w:ascii="Cambria" w:hAnsi="Cambria"/>
      <w:sz w:val="16"/>
      <w:szCs w:val="16"/>
      <w:lang w:eastAsia="en-US"/>
    </w:rPr>
  </w:style>
  <w:style w:type="character" w:styleId="CommentReference">
    <w:name w:val="annotation reference"/>
    <w:semiHidden/>
    <w:rsid w:val="00003734"/>
    <w:rPr>
      <w:rFonts w:ascii="Verdana" w:hAnsi="Verdana"/>
      <w:sz w:val="16"/>
      <w:szCs w:val="16"/>
    </w:rPr>
  </w:style>
  <w:style w:type="paragraph" w:customStyle="1" w:styleId="DHSReportHd2">
    <w:name w:val="DHS Report Hd 2"/>
    <w:basedOn w:val="Normal"/>
    <w:next w:val="Normal"/>
    <w:rsid w:val="00003734"/>
    <w:rPr>
      <w:rFonts w:ascii="Helvetica" w:hAnsi="Helvetica"/>
      <w:b/>
      <w:bCs/>
      <w:sz w:val="24"/>
    </w:rPr>
  </w:style>
  <w:style w:type="paragraph" w:styleId="ListParagraph">
    <w:name w:val="List Paragraph"/>
    <w:basedOn w:val="Normal"/>
    <w:uiPriority w:val="34"/>
    <w:qFormat/>
    <w:rsid w:val="00003734"/>
    <w:pPr>
      <w:ind w:left="720"/>
      <w:contextualSpacing/>
    </w:pPr>
  </w:style>
  <w:style w:type="paragraph" w:styleId="CommentText">
    <w:name w:val="annotation text"/>
    <w:basedOn w:val="Normal"/>
    <w:link w:val="CommentTextChar"/>
    <w:uiPriority w:val="99"/>
    <w:semiHidden/>
    <w:unhideWhenUsed/>
    <w:rsid w:val="00003734"/>
  </w:style>
  <w:style w:type="character" w:customStyle="1" w:styleId="CommentTextChar">
    <w:name w:val="Comment Text Char"/>
    <w:basedOn w:val="DefaultParagraphFont"/>
    <w:link w:val="CommentText"/>
    <w:uiPriority w:val="99"/>
    <w:semiHidden/>
    <w:rsid w:val="00003734"/>
    <w:rPr>
      <w:rFonts w:ascii="Cambria" w:hAnsi="Cambria"/>
      <w:lang w:eastAsia="en-US"/>
    </w:rPr>
  </w:style>
  <w:style w:type="paragraph" w:styleId="BalloonText">
    <w:name w:val="Balloon Text"/>
    <w:basedOn w:val="Normal"/>
    <w:link w:val="BalloonTextChar"/>
    <w:uiPriority w:val="99"/>
    <w:semiHidden/>
    <w:unhideWhenUsed/>
    <w:rsid w:val="00003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34"/>
    <w:rPr>
      <w:rFonts w:ascii="Segoe UI" w:hAnsi="Segoe UI" w:cs="Segoe UI"/>
      <w:sz w:val="18"/>
      <w:szCs w:val="18"/>
      <w:lang w:eastAsia="en-US"/>
    </w:rPr>
  </w:style>
  <w:style w:type="paragraph" w:customStyle="1" w:styleId="DHSText10pt">
    <w:name w:val="DHS Text 10pt"/>
    <w:basedOn w:val="Normal"/>
    <w:rsid w:val="008E75F4"/>
    <w:pPr>
      <w:widowControl w:val="0"/>
      <w:overflowPunct w:val="0"/>
      <w:autoSpaceDE w:val="0"/>
      <w:autoSpaceDN w:val="0"/>
      <w:adjustRightInd w:val="0"/>
      <w:textAlignment w:val="baseline"/>
    </w:pPr>
    <w:rPr>
      <w:rFonts w:ascii="Helvetica" w:hAnsi="Helvetica"/>
      <w:bCs/>
    </w:rPr>
  </w:style>
  <w:style w:type="character" w:styleId="UnresolvedMention">
    <w:name w:val="Unresolved Mention"/>
    <w:basedOn w:val="DefaultParagraphFont"/>
    <w:uiPriority w:val="99"/>
    <w:unhideWhenUsed/>
    <w:rsid w:val="00C611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1A76"/>
    <w:rPr>
      <w:b/>
      <w:bCs/>
    </w:rPr>
  </w:style>
  <w:style w:type="character" w:customStyle="1" w:styleId="CommentSubjectChar">
    <w:name w:val="Comment Subject Char"/>
    <w:basedOn w:val="CommentTextChar"/>
    <w:link w:val="CommentSubject"/>
    <w:uiPriority w:val="99"/>
    <w:semiHidden/>
    <w:rsid w:val="00861A76"/>
    <w:rPr>
      <w:rFonts w:ascii="Cambria" w:hAnsi="Cambria"/>
      <w:b/>
      <w:bCs/>
      <w:lang w:eastAsia="en-US"/>
    </w:rPr>
  </w:style>
  <w:style w:type="character" w:customStyle="1" w:styleId="DHHSbodyChar">
    <w:name w:val="DHHS body Char"/>
    <w:link w:val="DHHSbody"/>
    <w:rsid w:val="008021EB"/>
    <w:rPr>
      <w:rFonts w:ascii="Arial" w:eastAsia="Times" w:hAnsi="Arial"/>
      <w:lang w:eastAsia="en-US"/>
    </w:rPr>
  </w:style>
  <w:style w:type="character" w:styleId="Mention">
    <w:name w:val="Mention"/>
    <w:basedOn w:val="DefaultParagraphFont"/>
    <w:uiPriority w:val="99"/>
    <w:unhideWhenUsed/>
    <w:rsid w:val="006E42D6"/>
    <w:rPr>
      <w:color w:val="2B579A"/>
      <w:shd w:val="clear" w:color="auto" w:fill="E6E6E6"/>
    </w:rPr>
  </w:style>
  <w:style w:type="character" w:customStyle="1" w:styleId="file-link1">
    <w:name w:val="file-link1"/>
    <w:basedOn w:val="DefaultParagraphFont"/>
    <w:rsid w:val="00E44DCF"/>
  </w:style>
  <w:style w:type="paragraph" w:styleId="Revision">
    <w:name w:val="Revision"/>
    <w:hidden/>
    <w:uiPriority w:val="71"/>
    <w:rsid w:val="00D5276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0379">
      <w:bodyDiv w:val="1"/>
      <w:marLeft w:val="0"/>
      <w:marRight w:val="0"/>
      <w:marTop w:val="0"/>
      <w:marBottom w:val="0"/>
      <w:divBdr>
        <w:top w:val="none" w:sz="0" w:space="0" w:color="auto"/>
        <w:left w:val="none" w:sz="0" w:space="0" w:color="auto"/>
        <w:bottom w:val="none" w:sz="0" w:space="0" w:color="auto"/>
        <w:right w:val="none" w:sz="0" w:space="0" w:color="auto"/>
      </w:divBdr>
      <w:divsChild>
        <w:div w:id="107553046">
          <w:marLeft w:val="0"/>
          <w:marRight w:val="0"/>
          <w:marTop w:val="0"/>
          <w:marBottom w:val="0"/>
          <w:divBdr>
            <w:top w:val="none" w:sz="0" w:space="0" w:color="auto"/>
            <w:left w:val="none" w:sz="0" w:space="0" w:color="auto"/>
            <w:bottom w:val="none" w:sz="0" w:space="0" w:color="auto"/>
            <w:right w:val="none" w:sz="0" w:space="0" w:color="auto"/>
          </w:divBdr>
        </w:div>
        <w:div w:id="112795738">
          <w:marLeft w:val="0"/>
          <w:marRight w:val="0"/>
          <w:marTop w:val="0"/>
          <w:marBottom w:val="0"/>
          <w:divBdr>
            <w:top w:val="none" w:sz="0" w:space="0" w:color="auto"/>
            <w:left w:val="none" w:sz="0" w:space="0" w:color="auto"/>
            <w:bottom w:val="none" w:sz="0" w:space="0" w:color="auto"/>
            <w:right w:val="none" w:sz="0" w:space="0" w:color="auto"/>
          </w:divBdr>
        </w:div>
        <w:div w:id="303972197">
          <w:marLeft w:val="0"/>
          <w:marRight w:val="0"/>
          <w:marTop w:val="0"/>
          <w:marBottom w:val="0"/>
          <w:divBdr>
            <w:top w:val="none" w:sz="0" w:space="0" w:color="auto"/>
            <w:left w:val="none" w:sz="0" w:space="0" w:color="auto"/>
            <w:bottom w:val="none" w:sz="0" w:space="0" w:color="auto"/>
            <w:right w:val="none" w:sz="0" w:space="0" w:color="auto"/>
          </w:divBdr>
        </w:div>
        <w:div w:id="437876000">
          <w:marLeft w:val="0"/>
          <w:marRight w:val="0"/>
          <w:marTop w:val="0"/>
          <w:marBottom w:val="0"/>
          <w:divBdr>
            <w:top w:val="none" w:sz="0" w:space="0" w:color="auto"/>
            <w:left w:val="none" w:sz="0" w:space="0" w:color="auto"/>
            <w:bottom w:val="none" w:sz="0" w:space="0" w:color="auto"/>
            <w:right w:val="none" w:sz="0" w:space="0" w:color="auto"/>
          </w:divBdr>
        </w:div>
        <w:div w:id="741487734">
          <w:marLeft w:val="0"/>
          <w:marRight w:val="0"/>
          <w:marTop w:val="0"/>
          <w:marBottom w:val="0"/>
          <w:divBdr>
            <w:top w:val="none" w:sz="0" w:space="0" w:color="auto"/>
            <w:left w:val="none" w:sz="0" w:space="0" w:color="auto"/>
            <w:bottom w:val="none" w:sz="0" w:space="0" w:color="auto"/>
            <w:right w:val="none" w:sz="0" w:space="0" w:color="auto"/>
          </w:divBdr>
        </w:div>
        <w:div w:id="995692846">
          <w:marLeft w:val="0"/>
          <w:marRight w:val="0"/>
          <w:marTop w:val="0"/>
          <w:marBottom w:val="0"/>
          <w:divBdr>
            <w:top w:val="none" w:sz="0" w:space="0" w:color="auto"/>
            <w:left w:val="none" w:sz="0" w:space="0" w:color="auto"/>
            <w:bottom w:val="none" w:sz="0" w:space="0" w:color="auto"/>
            <w:right w:val="none" w:sz="0" w:space="0" w:color="auto"/>
          </w:divBdr>
        </w:div>
        <w:div w:id="1481077428">
          <w:marLeft w:val="0"/>
          <w:marRight w:val="0"/>
          <w:marTop w:val="0"/>
          <w:marBottom w:val="0"/>
          <w:divBdr>
            <w:top w:val="none" w:sz="0" w:space="0" w:color="auto"/>
            <w:left w:val="none" w:sz="0" w:space="0" w:color="auto"/>
            <w:bottom w:val="none" w:sz="0" w:space="0" w:color="auto"/>
            <w:right w:val="none" w:sz="0" w:space="0" w:color="auto"/>
          </w:divBdr>
        </w:div>
        <w:div w:id="1728527778">
          <w:marLeft w:val="0"/>
          <w:marRight w:val="0"/>
          <w:marTop w:val="0"/>
          <w:marBottom w:val="0"/>
          <w:divBdr>
            <w:top w:val="none" w:sz="0" w:space="0" w:color="auto"/>
            <w:left w:val="none" w:sz="0" w:space="0" w:color="auto"/>
            <w:bottom w:val="none" w:sz="0" w:space="0" w:color="auto"/>
            <w:right w:val="none" w:sz="0" w:space="0" w:color="auto"/>
          </w:divBdr>
        </w:div>
        <w:div w:id="1939868511">
          <w:marLeft w:val="0"/>
          <w:marRight w:val="0"/>
          <w:marTop w:val="0"/>
          <w:marBottom w:val="0"/>
          <w:divBdr>
            <w:top w:val="none" w:sz="0" w:space="0" w:color="auto"/>
            <w:left w:val="none" w:sz="0" w:space="0" w:color="auto"/>
            <w:bottom w:val="none" w:sz="0" w:space="0" w:color="auto"/>
            <w:right w:val="none" w:sz="0" w:space="0" w:color="auto"/>
          </w:divBdr>
        </w:div>
      </w:divsChild>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481264174">
      <w:bodyDiv w:val="1"/>
      <w:marLeft w:val="0"/>
      <w:marRight w:val="0"/>
      <w:marTop w:val="0"/>
      <w:marBottom w:val="0"/>
      <w:divBdr>
        <w:top w:val="none" w:sz="0" w:space="0" w:color="auto"/>
        <w:left w:val="none" w:sz="0" w:space="0" w:color="auto"/>
        <w:bottom w:val="none" w:sz="0" w:space="0" w:color="auto"/>
        <w:right w:val="none" w:sz="0" w:space="0" w:color="auto"/>
      </w:divBdr>
    </w:div>
    <w:div w:id="163402380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31478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nhmrc.gov.au/about-us/publications/australian-code-care-and-use-animals-scientific-purposes" TargetMode="External"/><Relationship Id="rId26" Type="http://schemas.openxmlformats.org/officeDocument/2006/relationships/image" Target="media/image2.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hmrc.gov.au/about-us/publications/australian-code-responsible-conduct-research-2018" TargetMode="External"/><Relationship Id="rId34" Type="http://schemas.openxmlformats.org/officeDocument/2006/relationships/hyperlink" Target="https://www.viccompcancerctr.org/about-vccc/consumer-engagement/toolkit"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hmrc.gov.au/about-us/publications/national-statement-ethical-conduct-human-research-2007-updated-2018" TargetMode="External"/><Relationship Id="rId25" Type="http://schemas.openxmlformats.org/officeDocument/2006/relationships/hyperlink" Target="http://www.austlii.edu.au/au/legis/vic/consol_act/hra2001144/" TargetMode="External"/><Relationship Id="rId33" Type="http://schemas.openxmlformats.org/officeDocument/2006/relationships/hyperlink" Target="http://www.victoriancanceragency.vic.gov.au/" TargetMode="External"/><Relationship Id="rId38" Type="http://schemas.openxmlformats.org/officeDocument/2006/relationships/hyperlink" Target="http://www.victoriancanceragency.vic.gov.au" TargetMode="External"/><Relationship Id="rId2" Type="http://schemas.openxmlformats.org/officeDocument/2006/relationships/customXml" Target="../customXml/item2.xml"/><Relationship Id="rId16" Type="http://schemas.openxmlformats.org/officeDocument/2006/relationships/hyperlink" Target="https://www.nhmrc.gov.au/research-policy/gender-equity/nhmrc-gender-equity-strategy-2022-2025" TargetMode="External"/><Relationship Id="rId20" Type="http://schemas.openxmlformats.org/officeDocument/2006/relationships/hyperlink" Target="https://aiatsis.gov.au/research/ethical-research/code-ethics" TargetMode="External"/><Relationship Id="rId29" Type="http://schemas.openxmlformats.org/officeDocument/2006/relationships/hyperlink" Target="https://www.nhmrc.gov.au/about-us/consumer-and-community-engageme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ustlii.edu.au/au/legis/vic/num_act/padpa201460o2014317/" TargetMode="External"/><Relationship Id="rId32" Type="http://schemas.openxmlformats.org/officeDocument/2006/relationships/hyperlink" Target="https://www.canceraustralia.gov.au/about-us/who-we-work/consumer-engagement" TargetMode="External"/><Relationship Id="rId37" Type="http://schemas.openxmlformats.org/officeDocument/2006/relationships/hyperlink" Target="mailto:%20victorian.canceragency@dhhs.vic.gov.au"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mrc.gov.au/about-us/publications/australian-code-responsible-conduct-research-2018" TargetMode="External"/><Relationship Id="rId23" Type="http://schemas.openxmlformats.org/officeDocument/2006/relationships/hyperlink" Target="https://www.nhmrc.gov.au/health-advice/aboriginal-and-torres-strait-islander-health/road-map-3" TargetMode="External"/><Relationship Id="rId28" Type="http://schemas.openxmlformats.org/officeDocument/2006/relationships/hyperlink" Target="https://www.victoriancanceragency.vic.gov.au/" TargetMode="External"/><Relationship Id="rId36" Type="http://schemas.openxmlformats.org/officeDocument/2006/relationships/hyperlink" Target="https://www.nhmrc.gov.au/about-us/policy-and-priorities" TargetMode="External"/><Relationship Id="rId10" Type="http://schemas.openxmlformats.org/officeDocument/2006/relationships/endnotes" Target="endnotes.xml"/><Relationship Id="rId19" Type="http://schemas.openxmlformats.org/officeDocument/2006/relationships/hyperlink" Target="https://www.ogtr.gov.au/sites/default/files/files/2021-07/national_framework_of_ethical_principles.pdf" TargetMode="External"/><Relationship Id="rId31" Type="http://schemas.openxmlformats.org/officeDocument/2006/relationships/hyperlink" Target="https://cciprogram.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mrc.gov.au/about-us/publications/national-statement-ethical-conduct-human-research-2007-updated-2018" TargetMode="External"/><Relationship Id="rId22" Type="http://schemas.openxmlformats.org/officeDocument/2006/relationships/hyperlink" Target="https://aiatsis.gov.au/research/ethical-research/code-ethics" TargetMode="External"/><Relationship Id="rId27" Type="http://schemas.openxmlformats.org/officeDocument/2006/relationships/hyperlink" Target="https://www.medicalresearch.nsw.gov.au/app/uploads/2018/07/strategic-review-report-2012.pdf" TargetMode="External"/><Relationship Id="rId30" Type="http://schemas.openxmlformats.org/officeDocument/2006/relationships/hyperlink" Target="https://www.cancercouncil.com.au/wp-content/uploads/2020/05/CCNSW-Consumer-Review-Guidelines-2020.pdf" TargetMode="External"/><Relationship Id="rId35" Type="http://schemas.openxmlformats.org/officeDocument/2006/relationships/hyperlink" Target="https://www.nhmrc.gov.au/about-us/policy-and-priorities" TargetMode="External"/><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gov.au/sites/default/files/australian-government-intellectual-property-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ar0710\AppData\Local\Hewlett-Packard\HP%20TRIM\TEMP\HPTRIM.8712\HHSD%2018%20214778%20(Revision%201)%20%20VC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5" ma:contentTypeDescription="Create a new document." ma:contentTypeScope="" ma:versionID="4eb37e99f091927f22bc620b8b4cf77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706bffd3ab86d3e663fc298afde481b8"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1f68f8-afd0-4eed-b8ed-da6dfa400546}"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F11B-CED9-4E0A-8491-8561085B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C043-9E26-45B1-AB9D-DA862C7ABD32}">
  <ds:schemaRefs>
    <ds:schemaRef ds:uri="http://schemas.microsoft.com/sharepoint/v3/contenttype/forms"/>
  </ds:schemaRefs>
</ds:datastoreItem>
</file>

<file path=customXml/itemProps3.xml><?xml version="1.0" encoding="utf-8"?>
<ds:datastoreItem xmlns:ds="http://schemas.openxmlformats.org/officeDocument/2006/customXml" ds:itemID="{88C2A4A1-8947-4387-A3FC-6D51FA517AB1}">
  <ds:schemaRefs>
    <ds:schemaRef ds:uri="http://schemas.microsoft.com/office/2006/metadata/properties"/>
    <ds:schemaRef ds:uri="http://schemas.microsoft.com/office/infopath/2007/PartnerControls"/>
    <ds:schemaRef ds:uri="5ce0f2b5-5be5-4508-bce9-d7011ece0659"/>
    <ds:schemaRef ds:uri="d57d50af-0511-4abc-8473-7b8c08a937c3"/>
  </ds:schemaRefs>
</ds:datastoreItem>
</file>

<file path=customXml/itemProps4.xml><?xml version="1.0" encoding="utf-8"?>
<ds:datastoreItem xmlns:ds="http://schemas.openxmlformats.org/officeDocument/2006/customXml" ds:itemID="{1E008FE6-8F3A-4AD9-97E6-6BF0D51C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18 214778 (Revision 1)  VCA report template.DOTX</Template>
  <TotalTime>468</TotalTime>
  <Pages>21</Pages>
  <Words>8274</Words>
  <Characters>47165</Characters>
  <Application>Microsoft Office Word</Application>
  <DocSecurity>0</DocSecurity>
  <Lines>393</Lines>
  <Paragraphs>110</Paragraphs>
  <ScaleCrop>false</ScaleCrop>
  <Company>Victoria State Government</Company>
  <LinksUpToDate>false</LinksUpToDate>
  <CharactersWithSpaces>55329</CharactersWithSpaces>
  <SharedDoc>false</SharedDoc>
  <HyperlinkBase/>
  <HLinks>
    <vt:vector size="456" baseType="variant">
      <vt:variant>
        <vt:i4>1835020</vt:i4>
      </vt:variant>
      <vt:variant>
        <vt:i4>354</vt:i4>
      </vt:variant>
      <vt:variant>
        <vt:i4>0</vt:i4>
      </vt:variant>
      <vt:variant>
        <vt:i4>5</vt:i4>
      </vt:variant>
      <vt:variant>
        <vt:lpwstr>http://www.victoriancanceragency.vic.gov.au/</vt:lpwstr>
      </vt:variant>
      <vt:variant>
        <vt:lpwstr/>
      </vt:variant>
      <vt:variant>
        <vt:i4>393268</vt:i4>
      </vt:variant>
      <vt:variant>
        <vt:i4>351</vt:i4>
      </vt:variant>
      <vt:variant>
        <vt:i4>0</vt:i4>
      </vt:variant>
      <vt:variant>
        <vt:i4>5</vt:i4>
      </vt:variant>
      <vt:variant>
        <vt:lpwstr>mailto:%20victorian.canceragency@dhhs.vic.gov.au</vt:lpwstr>
      </vt:variant>
      <vt:variant>
        <vt:lpwstr/>
      </vt:variant>
      <vt:variant>
        <vt:i4>6815802</vt:i4>
      </vt:variant>
      <vt:variant>
        <vt:i4>348</vt:i4>
      </vt:variant>
      <vt:variant>
        <vt:i4>0</vt:i4>
      </vt:variant>
      <vt:variant>
        <vt:i4>5</vt:i4>
      </vt:variant>
      <vt:variant>
        <vt:lpwstr>https://www.nhmrc.gov.au/about-us/policy-and-priorities</vt:lpwstr>
      </vt:variant>
      <vt:variant>
        <vt:lpwstr/>
      </vt:variant>
      <vt:variant>
        <vt:i4>6815802</vt:i4>
      </vt:variant>
      <vt:variant>
        <vt:i4>345</vt:i4>
      </vt:variant>
      <vt:variant>
        <vt:i4>0</vt:i4>
      </vt:variant>
      <vt:variant>
        <vt:i4>5</vt:i4>
      </vt:variant>
      <vt:variant>
        <vt:lpwstr>https://www.nhmrc.gov.au/about-us/policy-and-priorities</vt:lpwstr>
      </vt:variant>
      <vt:variant>
        <vt:lpwstr/>
      </vt:variant>
      <vt:variant>
        <vt:i4>4063292</vt:i4>
      </vt:variant>
      <vt:variant>
        <vt:i4>342</vt:i4>
      </vt:variant>
      <vt:variant>
        <vt:i4>0</vt:i4>
      </vt:variant>
      <vt:variant>
        <vt:i4>5</vt:i4>
      </vt:variant>
      <vt:variant>
        <vt:lpwstr>https://www.viccompcancerctr.org/about-vccc/consumer-engagement/toolkit</vt:lpwstr>
      </vt:variant>
      <vt:variant>
        <vt:lpwstr/>
      </vt:variant>
      <vt:variant>
        <vt:i4>1835020</vt:i4>
      </vt:variant>
      <vt:variant>
        <vt:i4>339</vt:i4>
      </vt:variant>
      <vt:variant>
        <vt:i4>0</vt:i4>
      </vt:variant>
      <vt:variant>
        <vt:i4>5</vt:i4>
      </vt:variant>
      <vt:variant>
        <vt:lpwstr>http://www.victoriancanceragency.vic.gov.au/</vt:lpwstr>
      </vt:variant>
      <vt:variant>
        <vt:lpwstr/>
      </vt:variant>
      <vt:variant>
        <vt:i4>6553642</vt:i4>
      </vt:variant>
      <vt:variant>
        <vt:i4>336</vt:i4>
      </vt:variant>
      <vt:variant>
        <vt:i4>0</vt:i4>
      </vt:variant>
      <vt:variant>
        <vt:i4>5</vt:i4>
      </vt:variant>
      <vt:variant>
        <vt:lpwstr>https://www.canceraustralia.gov.au/about-us/who-we-work/consumer-engagement</vt:lpwstr>
      </vt:variant>
      <vt:variant>
        <vt:lpwstr/>
      </vt:variant>
      <vt:variant>
        <vt:i4>7995490</vt:i4>
      </vt:variant>
      <vt:variant>
        <vt:i4>333</vt:i4>
      </vt:variant>
      <vt:variant>
        <vt:i4>0</vt:i4>
      </vt:variant>
      <vt:variant>
        <vt:i4>5</vt:i4>
      </vt:variant>
      <vt:variant>
        <vt:lpwstr>https://cciprogram.org/</vt:lpwstr>
      </vt:variant>
      <vt:variant>
        <vt:lpwstr/>
      </vt:variant>
      <vt:variant>
        <vt:i4>5832711</vt:i4>
      </vt:variant>
      <vt:variant>
        <vt:i4>330</vt:i4>
      </vt:variant>
      <vt:variant>
        <vt:i4>0</vt:i4>
      </vt:variant>
      <vt:variant>
        <vt:i4>5</vt:i4>
      </vt:variant>
      <vt:variant>
        <vt:lpwstr>https://www.cancercouncil.com.au/wp-content/uploads/2020/05/CCNSW-Consumer-Review-Guidelines-2020.pdf</vt:lpwstr>
      </vt:variant>
      <vt:variant>
        <vt:lpwstr/>
      </vt:variant>
      <vt:variant>
        <vt:i4>6488191</vt:i4>
      </vt:variant>
      <vt:variant>
        <vt:i4>327</vt:i4>
      </vt:variant>
      <vt:variant>
        <vt:i4>0</vt:i4>
      </vt:variant>
      <vt:variant>
        <vt:i4>5</vt:i4>
      </vt:variant>
      <vt:variant>
        <vt:lpwstr>https://www.nhmrc.gov.au/about-us/consumer-and-community-engagement</vt:lpwstr>
      </vt:variant>
      <vt:variant>
        <vt:lpwstr/>
      </vt:variant>
      <vt:variant>
        <vt:i4>1310808</vt:i4>
      </vt:variant>
      <vt:variant>
        <vt:i4>324</vt:i4>
      </vt:variant>
      <vt:variant>
        <vt:i4>0</vt:i4>
      </vt:variant>
      <vt:variant>
        <vt:i4>5</vt:i4>
      </vt:variant>
      <vt:variant>
        <vt:lpwstr>https://www.victoriancanceragency.vic.gov.au/</vt:lpwstr>
      </vt:variant>
      <vt:variant>
        <vt:lpwstr/>
      </vt:variant>
      <vt:variant>
        <vt:i4>6946918</vt:i4>
      </vt:variant>
      <vt:variant>
        <vt:i4>321</vt:i4>
      </vt:variant>
      <vt:variant>
        <vt:i4>0</vt:i4>
      </vt:variant>
      <vt:variant>
        <vt:i4>5</vt:i4>
      </vt:variant>
      <vt:variant>
        <vt:lpwstr>https://www.medicalresearch.nsw.gov.au/app/uploads/2018/07/strategic-review-report-2012.pdf</vt:lpwstr>
      </vt:variant>
      <vt:variant>
        <vt:lpwstr/>
      </vt:variant>
      <vt:variant>
        <vt:i4>8257627</vt:i4>
      </vt:variant>
      <vt:variant>
        <vt:i4>318</vt:i4>
      </vt:variant>
      <vt:variant>
        <vt:i4>0</vt:i4>
      </vt:variant>
      <vt:variant>
        <vt:i4>5</vt:i4>
      </vt:variant>
      <vt:variant>
        <vt:lpwstr>http://www.austlii.edu.au/au/legis/vic/consol_act/hra2001144/</vt:lpwstr>
      </vt:variant>
      <vt:variant>
        <vt:lpwstr/>
      </vt:variant>
      <vt:variant>
        <vt:i4>2752538</vt:i4>
      </vt:variant>
      <vt:variant>
        <vt:i4>315</vt:i4>
      </vt:variant>
      <vt:variant>
        <vt:i4>0</vt:i4>
      </vt:variant>
      <vt:variant>
        <vt:i4>5</vt:i4>
      </vt:variant>
      <vt:variant>
        <vt:lpwstr>http://www.austlii.edu.au/au/legis/vic/num_act/padpa201460o2014317/</vt:lpwstr>
      </vt:variant>
      <vt:variant>
        <vt:lpwstr/>
      </vt:variant>
      <vt:variant>
        <vt:i4>2687018</vt:i4>
      </vt:variant>
      <vt:variant>
        <vt:i4>312</vt:i4>
      </vt:variant>
      <vt:variant>
        <vt:i4>0</vt:i4>
      </vt:variant>
      <vt:variant>
        <vt:i4>5</vt:i4>
      </vt:variant>
      <vt:variant>
        <vt:lpwstr>https://www.nhmrc.gov.au/health-advice/aboriginal-and-torres-strait-islander-health/road-map-3</vt:lpwstr>
      </vt:variant>
      <vt:variant>
        <vt:lpwstr/>
      </vt:variant>
      <vt:variant>
        <vt:i4>4718665</vt:i4>
      </vt:variant>
      <vt:variant>
        <vt:i4>309</vt:i4>
      </vt:variant>
      <vt:variant>
        <vt:i4>0</vt:i4>
      </vt:variant>
      <vt:variant>
        <vt:i4>5</vt:i4>
      </vt:variant>
      <vt:variant>
        <vt:lpwstr>https://www.nhmrc.gov.au/about-us/resources/keeping-research-track-ii</vt:lpwstr>
      </vt:variant>
      <vt:variant>
        <vt:lpwstr>:~:text=Keeping%20research%20on%20track%20II%20was%20developed%20to%20provide%20advice,put%20into%20practice%20in%20research.</vt:lpwstr>
      </vt:variant>
      <vt:variant>
        <vt:i4>6029391</vt:i4>
      </vt:variant>
      <vt:variant>
        <vt:i4>306</vt:i4>
      </vt:variant>
      <vt:variant>
        <vt:i4>0</vt:i4>
      </vt:variant>
      <vt:variant>
        <vt:i4>5</vt:i4>
      </vt:variant>
      <vt:variant>
        <vt:lpwstr>https://aiatsis.gov.au/research/ethical-research/code-ethics</vt:lpwstr>
      </vt:variant>
      <vt:variant>
        <vt:lpwstr/>
      </vt:variant>
      <vt:variant>
        <vt:i4>70</vt:i4>
      </vt:variant>
      <vt:variant>
        <vt:i4>303</vt:i4>
      </vt:variant>
      <vt:variant>
        <vt:i4>0</vt:i4>
      </vt:variant>
      <vt:variant>
        <vt:i4>5</vt:i4>
      </vt:variant>
      <vt:variant>
        <vt:lpwstr>https://www.nhmrc.gov.au/about-us/publications/australian-code-responsible-conduct-research-2018</vt:lpwstr>
      </vt:variant>
      <vt:variant>
        <vt:lpwstr/>
      </vt:variant>
      <vt:variant>
        <vt:i4>6029391</vt:i4>
      </vt:variant>
      <vt:variant>
        <vt:i4>300</vt:i4>
      </vt:variant>
      <vt:variant>
        <vt:i4>0</vt:i4>
      </vt:variant>
      <vt:variant>
        <vt:i4>5</vt:i4>
      </vt:variant>
      <vt:variant>
        <vt:lpwstr>https://aiatsis.gov.au/research/ethical-research/code-ethics</vt:lpwstr>
      </vt:variant>
      <vt:variant>
        <vt:lpwstr/>
      </vt:variant>
      <vt:variant>
        <vt:i4>8061027</vt:i4>
      </vt:variant>
      <vt:variant>
        <vt:i4>297</vt:i4>
      </vt:variant>
      <vt:variant>
        <vt:i4>0</vt:i4>
      </vt:variant>
      <vt:variant>
        <vt:i4>5</vt:i4>
      </vt:variant>
      <vt:variant>
        <vt:lpwstr>https://www.ogtr.gov.au/sites/default/files/files/2021-07/national_framework_of_ethical_principles.pdf</vt:lpwstr>
      </vt:variant>
      <vt:variant>
        <vt:lpwstr/>
      </vt:variant>
      <vt:variant>
        <vt:i4>7667821</vt:i4>
      </vt:variant>
      <vt:variant>
        <vt:i4>294</vt:i4>
      </vt:variant>
      <vt:variant>
        <vt:i4>0</vt:i4>
      </vt:variant>
      <vt:variant>
        <vt:i4>5</vt:i4>
      </vt:variant>
      <vt:variant>
        <vt:lpwstr>https://nhmrc.gov.au/about-us/publications/australian-code-care-and-use-animals-scientific-purposes</vt:lpwstr>
      </vt:variant>
      <vt:variant>
        <vt:lpwstr/>
      </vt:variant>
      <vt:variant>
        <vt:i4>8192038</vt:i4>
      </vt:variant>
      <vt:variant>
        <vt:i4>291</vt:i4>
      </vt:variant>
      <vt:variant>
        <vt:i4>0</vt:i4>
      </vt:variant>
      <vt:variant>
        <vt:i4>5</vt:i4>
      </vt:variant>
      <vt:variant>
        <vt:lpwstr>https://nhmrc.gov.au/about-us/publications/national-statement-ethical-conduct-human-research-2007-updated-2018</vt:lpwstr>
      </vt:variant>
      <vt:variant>
        <vt:lpwstr/>
      </vt:variant>
      <vt:variant>
        <vt:i4>4456468</vt:i4>
      </vt:variant>
      <vt:variant>
        <vt:i4>288</vt:i4>
      </vt:variant>
      <vt:variant>
        <vt:i4>0</vt:i4>
      </vt:variant>
      <vt:variant>
        <vt:i4>5</vt:i4>
      </vt:variant>
      <vt:variant>
        <vt:lpwstr>https://www.nhmrc.gov.au/research-policy/gender-equity/nhmrc-gender-equity-strategy-2022-2025</vt:lpwstr>
      </vt:variant>
      <vt:variant>
        <vt:lpwstr/>
      </vt:variant>
      <vt:variant>
        <vt:i4>4456468</vt:i4>
      </vt:variant>
      <vt:variant>
        <vt:i4>285</vt:i4>
      </vt:variant>
      <vt:variant>
        <vt:i4>0</vt:i4>
      </vt:variant>
      <vt:variant>
        <vt:i4>5</vt:i4>
      </vt:variant>
      <vt:variant>
        <vt:lpwstr>https://www.nhmrc.gov.au/research-policy/gender-equity/nhmrc-gender-equity-strategy-2022-2025</vt:lpwstr>
      </vt:variant>
      <vt:variant>
        <vt:lpwstr/>
      </vt:variant>
      <vt:variant>
        <vt:i4>70</vt:i4>
      </vt:variant>
      <vt:variant>
        <vt:i4>282</vt:i4>
      </vt:variant>
      <vt:variant>
        <vt:i4>0</vt:i4>
      </vt:variant>
      <vt:variant>
        <vt:i4>5</vt:i4>
      </vt:variant>
      <vt:variant>
        <vt:lpwstr>https://www.nhmrc.gov.au/about-us/publications/australian-code-responsible-conduct-research-2018</vt:lpwstr>
      </vt:variant>
      <vt:variant>
        <vt:lpwstr/>
      </vt:variant>
      <vt:variant>
        <vt:i4>8192038</vt:i4>
      </vt:variant>
      <vt:variant>
        <vt:i4>279</vt:i4>
      </vt:variant>
      <vt:variant>
        <vt:i4>0</vt:i4>
      </vt:variant>
      <vt:variant>
        <vt:i4>5</vt:i4>
      </vt:variant>
      <vt:variant>
        <vt:lpwstr>https://nhmrc.gov.au/about-us/publications/national-statement-ethical-conduct-human-research-2007-updated-2018</vt:lpwstr>
      </vt:variant>
      <vt:variant>
        <vt:lpwstr/>
      </vt:variant>
      <vt:variant>
        <vt:i4>1769520</vt:i4>
      </vt:variant>
      <vt:variant>
        <vt:i4>272</vt:i4>
      </vt:variant>
      <vt:variant>
        <vt:i4>0</vt:i4>
      </vt:variant>
      <vt:variant>
        <vt:i4>5</vt:i4>
      </vt:variant>
      <vt:variant>
        <vt:lpwstr/>
      </vt:variant>
      <vt:variant>
        <vt:lpwstr>_Toc75362867</vt:lpwstr>
      </vt:variant>
      <vt:variant>
        <vt:i4>1703984</vt:i4>
      </vt:variant>
      <vt:variant>
        <vt:i4>266</vt:i4>
      </vt:variant>
      <vt:variant>
        <vt:i4>0</vt:i4>
      </vt:variant>
      <vt:variant>
        <vt:i4>5</vt:i4>
      </vt:variant>
      <vt:variant>
        <vt:lpwstr/>
      </vt:variant>
      <vt:variant>
        <vt:lpwstr>_Toc75362866</vt:lpwstr>
      </vt:variant>
      <vt:variant>
        <vt:i4>1638448</vt:i4>
      </vt:variant>
      <vt:variant>
        <vt:i4>260</vt:i4>
      </vt:variant>
      <vt:variant>
        <vt:i4>0</vt:i4>
      </vt:variant>
      <vt:variant>
        <vt:i4>5</vt:i4>
      </vt:variant>
      <vt:variant>
        <vt:lpwstr/>
      </vt:variant>
      <vt:variant>
        <vt:lpwstr>_Toc75362865</vt:lpwstr>
      </vt:variant>
      <vt:variant>
        <vt:i4>1572912</vt:i4>
      </vt:variant>
      <vt:variant>
        <vt:i4>254</vt:i4>
      </vt:variant>
      <vt:variant>
        <vt:i4>0</vt:i4>
      </vt:variant>
      <vt:variant>
        <vt:i4>5</vt:i4>
      </vt:variant>
      <vt:variant>
        <vt:lpwstr/>
      </vt:variant>
      <vt:variant>
        <vt:lpwstr>_Toc75362864</vt:lpwstr>
      </vt:variant>
      <vt:variant>
        <vt:i4>2031664</vt:i4>
      </vt:variant>
      <vt:variant>
        <vt:i4>248</vt:i4>
      </vt:variant>
      <vt:variant>
        <vt:i4>0</vt:i4>
      </vt:variant>
      <vt:variant>
        <vt:i4>5</vt:i4>
      </vt:variant>
      <vt:variant>
        <vt:lpwstr/>
      </vt:variant>
      <vt:variant>
        <vt:lpwstr>_Toc75362863</vt:lpwstr>
      </vt:variant>
      <vt:variant>
        <vt:i4>1966128</vt:i4>
      </vt:variant>
      <vt:variant>
        <vt:i4>242</vt:i4>
      </vt:variant>
      <vt:variant>
        <vt:i4>0</vt:i4>
      </vt:variant>
      <vt:variant>
        <vt:i4>5</vt:i4>
      </vt:variant>
      <vt:variant>
        <vt:lpwstr/>
      </vt:variant>
      <vt:variant>
        <vt:lpwstr>_Toc75362862</vt:lpwstr>
      </vt:variant>
      <vt:variant>
        <vt:i4>1900592</vt:i4>
      </vt:variant>
      <vt:variant>
        <vt:i4>236</vt:i4>
      </vt:variant>
      <vt:variant>
        <vt:i4>0</vt:i4>
      </vt:variant>
      <vt:variant>
        <vt:i4>5</vt:i4>
      </vt:variant>
      <vt:variant>
        <vt:lpwstr/>
      </vt:variant>
      <vt:variant>
        <vt:lpwstr>_Toc75362861</vt:lpwstr>
      </vt:variant>
      <vt:variant>
        <vt:i4>1835056</vt:i4>
      </vt:variant>
      <vt:variant>
        <vt:i4>230</vt:i4>
      </vt:variant>
      <vt:variant>
        <vt:i4>0</vt:i4>
      </vt:variant>
      <vt:variant>
        <vt:i4>5</vt:i4>
      </vt:variant>
      <vt:variant>
        <vt:lpwstr/>
      </vt:variant>
      <vt:variant>
        <vt:lpwstr>_Toc75362860</vt:lpwstr>
      </vt:variant>
      <vt:variant>
        <vt:i4>1376307</vt:i4>
      </vt:variant>
      <vt:variant>
        <vt:i4>224</vt:i4>
      </vt:variant>
      <vt:variant>
        <vt:i4>0</vt:i4>
      </vt:variant>
      <vt:variant>
        <vt:i4>5</vt:i4>
      </vt:variant>
      <vt:variant>
        <vt:lpwstr/>
      </vt:variant>
      <vt:variant>
        <vt:lpwstr>_Toc75362859</vt:lpwstr>
      </vt:variant>
      <vt:variant>
        <vt:i4>1310771</vt:i4>
      </vt:variant>
      <vt:variant>
        <vt:i4>218</vt:i4>
      </vt:variant>
      <vt:variant>
        <vt:i4>0</vt:i4>
      </vt:variant>
      <vt:variant>
        <vt:i4>5</vt:i4>
      </vt:variant>
      <vt:variant>
        <vt:lpwstr/>
      </vt:variant>
      <vt:variant>
        <vt:lpwstr>_Toc75362858</vt:lpwstr>
      </vt:variant>
      <vt:variant>
        <vt:i4>1769523</vt:i4>
      </vt:variant>
      <vt:variant>
        <vt:i4>212</vt:i4>
      </vt:variant>
      <vt:variant>
        <vt:i4>0</vt:i4>
      </vt:variant>
      <vt:variant>
        <vt:i4>5</vt:i4>
      </vt:variant>
      <vt:variant>
        <vt:lpwstr/>
      </vt:variant>
      <vt:variant>
        <vt:lpwstr>_Toc75362857</vt:lpwstr>
      </vt:variant>
      <vt:variant>
        <vt:i4>1703987</vt:i4>
      </vt:variant>
      <vt:variant>
        <vt:i4>206</vt:i4>
      </vt:variant>
      <vt:variant>
        <vt:i4>0</vt:i4>
      </vt:variant>
      <vt:variant>
        <vt:i4>5</vt:i4>
      </vt:variant>
      <vt:variant>
        <vt:lpwstr/>
      </vt:variant>
      <vt:variant>
        <vt:lpwstr>_Toc75362856</vt:lpwstr>
      </vt:variant>
      <vt:variant>
        <vt:i4>1638451</vt:i4>
      </vt:variant>
      <vt:variant>
        <vt:i4>200</vt:i4>
      </vt:variant>
      <vt:variant>
        <vt:i4>0</vt:i4>
      </vt:variant>
      <vt:variant>
        <vt:i4>5</vt:i4>
      </vt:variant>
      <vt:variant>
        <vt:lpwstr/>
      </vt:variant>
      <vt:variant>
        <vt:lpwstr>_Toc75362855</vt:lpwstr>
      </vt:variant>
      <vt:variant>
        <vt:i4>1572915</vt:i4>
      </vt:variant>
      <vt:variant>
        <vt:i4>194</vt:i4>
      </vt:variant>
      <vt:variant>
        <vt:i4>0</vt:i4>
      </vt:variant>
      <vt:variant>
        <vt:i4>5</vt:i4>
      </vt:variant>
      <vt:variant>
        <vt:lpwstr/>
      </vt:variant>
      <vt:variant>
        <vt:lpwstr>_Toc75362854</vt:lpwstr>
      </vt:variant>
      <vt:variant>
        <vt:i4>2031667</vt:i4>
      </vt:variant>
      <vt:variant>
        <vt:i4>188</vt:i4>
      </vt:variant>
      <vt:variant>
        <vt:i4>0</vt:i4>
      </vt:variant>
      <vt:variant>
        <vt:i4>5</vt:i4>
      </vt:variant>
      <vt:variant>
        <vt:lpwstr/>
      </vt:variant>
      <vt:variant>
        <vt:lpwstr>_Toc75362853</vt:lpwstr>
      </vt:variant>
      <vt:variant>
        <vt:i4>1966131</vt:i4>
      </vt:variant>
      <vt:variant>
        <vt:i4>182</vt:i4>
      </vt:variant>
      <vt:variant>
        <vt:i4>0</vt:i4>
      </vt:variant>
      <vt:variant>
        <vt:i4>5</vt:i4>
      </vt:variant>
      <vt:variant>
        <vt:lpwstr/>
      </vt:variant>
      <vt:variant>
        <vt:lpwstr>_Toc75362852</vt:lpwstr>
      </vt:variant>
      <vt:variant>
        <vt:i4>1900595</vt:i4>
      </vt:variant>
      <vt:variant>
        <vt:i4>176</vt:i4>
      </vt:variant>
      <vt:variant>
        <vt:i4>0</vt:i4>
      </vt:variant>
      <vt:variant>
        <vt:i4>5</vt:i4>
      </vt:variant>
      <vt:variant>
        <vt:lpwstr/>
      </vt:variant>
      <vt:variant>
        <vt:lpwstr>_Toc75362851</vt:lpwstr>
      </vt:variant>
      <vt:variant>
        <vt:i4>1835059</vt:i4>
      </vt:variant>
      <vt:variant>
        <vt:i4>170</vt:i4>
      </vt:variant>
      <vt:variant>
        <vt:i4>0</vt:i4>
      </vt:variant>
      <vt:variant>
        <vt:i4>5</vt:i4>
      </vt:variant>
      <vt:variant>
        <vt:lpwstr/>
      </vt:variant>
      <vt:variant>
        <vt:lpwstr>_Toc75362850</vt:lpwstr>
      </vt:variant>
      <vt:variant>
        <vt:i4>1376306</vt:i4>
      </vt:variant>
      <vt:variant>
        <vt:i4>164</vt:i4>
      </vt:variant>
      <vt:variant>
        <vt:i4>0</vt:i4>
      </vt:variant>
      <vt:variant>
        <vt:i4>5</vt:i4>
      </vt:variant>
      <vt:variant>
        <vt:lpwstr/>
      </vt:variant>
      <vt:variant>
        <vt:lpwstr>_Toc75362849</vt:lpwstr>
      </vt:variant>
      <vt:variant>
        <vt:i4>1310770</vt:i4>
      </vt:variant>
      <vt:variant>
        <vt:i4>158</vt:i4>
      </vt:variant>
      <vt:variant>
        <vt:i4>0</vt:i4>
      </vt:variant>
      <vt:variant>
        <vt:i4>5</vt:i4>
      </vt:variant>
      <vt:variant>
        <vt:lpwstr/>
      </vt:variant>
      <vt:variant>
        <vt:lpwstr>_Toc75362848</vt:lpwstr>
      </vt:variant>
      <vt:variant>
        <vt:i4>1769522</vt:i4>
      </vt:variant>
      <vt:variant>
        <vt:i4>152</vt:i4>
      </vt:variant>
      <vt:variant>
        <vt:i4>0</vt:i4>
      </vt:variant>
      <vt:variant>
        <vt:i4>5</vt:i4>
      </vt:variant>
      <vt:variant>
        <vt:lpwstr/>
      </vt:variant>
      <vt:variant>
        <vt:lpwstr>_Toc75362847</vt:lpwstr>
      </vt:variant>
      <vt:variant>
        <vt:i4>1703986</vt:i4>
      </vt:variant>
      <vt:variant>
        <vt:i4>146</vt:i4>
      </vt:variant>
      <vt:variant>
        <vt:i4>0</vt:i4>
      </vt:variant>
      <vt:variant>
        <vt:i4>5</vt:i4>
      </vt:variant>
      <vt:variant>
        <vt:lpwstr/>
      </vt:variant>
      <vt:variant>
        <vt:lpwstr>_Toc75362846</vt:lpwstr>
      </vt:variant>
      <vt:variant>
        <vt:i4>1638450</vt:i4>
      </vt:variant>
      <vt:variant>
        <vt:i4>140</vt:i4>
      </vt:variant>
      <vt:variant>
        <vt:i4>0</vt:i4>
      </vt:variant>
      <vt:variant>
        <vt:i4>5</vt:i4>
      </vt:variant>
      <vt:variant>
        <vt:lpwstr/>
      </vt:variant>
      <vt:variant>
        <vt:lpwstr>_Toc75362845</vt:lpwstr>
      </vt:variant>
      <vt:variant>
        <vt:i4>1572914</vt:i4>
      </vt:variant>
      <vt:variant>
        <vt:i4>134</vt:i4>
      </vt:variant>
      <vt:variant>
        <vt:i4>0</vt:i4>
      </vt:variant>
      <vt:variant>
        <vt:i4>5</vt:i4>
      </vt:variant>
      <vt:variant>
        <vt:lpwstr/>
      </vt:variant>
      <vt:variant>
        <vt:lpwstr>_Toc75362844</vt:lpwstr>
      </vt:variant>
      <vt:variant>
        <vt:i4>2031666</vt:i4>
      </vt:variant>
      <vt:variant>
        <vt:i4>128</vt:i4>
      </vt:variant>
      <vt:variant>
        <vt:i4>0</vt:i4>
      </vt:variant>
      <vt:variant>
        <vt:i4>5</vt:i4>
      </vt:variant>
      <vt:variant>
        <vt:lpwstr/>
      </vt:variant>
      <vt:variant>
        <vt:lpwstr>_Toc75362843</vt:lpwstr>
      </vt:variant>
      <vt:variant>
        <vt:i4>1966130</vt:i4>
      </vt:variant>
      <vt:variant>
        <vt:i4>122</vt:i4>
      </vt:variant>
      <vt:variant>
        <vt:i4>0</vt:i4>
      </vt:variant>
      <vt:variant>
        <vt:i4>5</vt:i4>
      </vt:variant>
      <vt:variant>
        <vt:lpwstr/>
      </vt:variant>
      <vt:variant>
        <vt:lpwstr>_Toc75362842</vt:lpwstr>
      </vt:variant>
      <vt:variant>
        <vt:i4>1900594</vt:i4>
      </vt:variant>
      <vt:variant>
        <vt:i4>116</vt:i4>
      </vt:variant>
      <vt:variant>
        <vt:i4>0</vt:i4>
      </vt:variant>
      <vt:variant>
        <vt:i4>5</vt:i4>
      </vt:variant>
      <vt:variant>
        <vt:lpwstr/>
      </vt:variant>
      <vt:variant>
        <vt:lpwstr>_Toc75362841</vt:lpwstr>
      </vt:variant>
      <vt:variant>
        <vt:i4>1835058</vt:i4>
      </vt:variant>
      <vt:variant>
        <vt:i4>110</vt:i4>
      </vt:variant>
      <vt:variant>
        <vt:i4>0</vt:i4>
      </vt:variant>
      <vt:variant>
        <vt:i4>5</vt:i4>
      </vt:variant>
      <vt:variant>
        <vt:lpwstr/>
      </vt:variant>
      <vt:variant>
        <vt:lpwstr>_Toc75362840</vt:lpwstr>
      </vt:variant>
      <vt:variant>
        <vt:i4>1376309</vt:i4>
      </vt:variant>
      <vt:variant>
        <vt:i4>104</vt:i4>
      </vt:variant>
      <vt:variant>
        <vt:i4>0</vt:i4>
      </vt:variant>
      <vt:variant>
        <vt:i4>5</vt:i4>
      </vt:variant>
      <vt:variant>
        <vt:lpwstr/>
      </vt:variant>
      <vt:variant>
        <vt:lpwstr>_Toc75362839</vt:lpwstr>
      </vt:variant>
      <vt:variant>
        <vt:i4>1310773</vt:i4>
      </vt:variant>
      <vt:variant>
        <vt:i4>98</vt:i4>
      </vt:variant>
      <vt:variant>
        <vt:i4>0</vt:i4>
      </vt:variant>
      <vt:variant>
        <vt:i4>5</vt:i4>
      </vt:variant>
      <vt:variant>
        <vt:lpwstr/>
      </vt:variant>
      <vt:variant>
        <vt:lpwstr>_Toc75362838</vt:lpwstr>
      </vt:variant>
      <vt:variant>
        <vt:i4>1769525</vt:i4>
      </vt:variant>
      <vt:variant>
        <vt:i4>92</vt:i4>
      </vt:variant>
      <vt:variant>
        <vt:i4>0</vt:i4>
      </vt:variant>
      <vt:variant>
        <vt:i4>5</vt:i4>
      </vt:variant>
      <vt:variant>
        <vt:lpwstr/>
      </vt:variant>
      <vt:variant>
        <vt:lpwstr>_Toc75362837</vt:lpwstr>
      </vt:variant>
      <vt:variant>
        <vt:i4>1703989</vt:i4>
      </vt:variant>
      <vt:variant>
        <vt:i4>86</vt:i4>
      </vt:variant>
      <vt:variant>
        <vt:i4>0</vt:i4>
      </vt:variant>
      <vt:variant>
        <vt:i4>5</vt:i4>
      </vt:variant>
      <vt:variant>
        <vt:lpwstr/>
      </vt:variant>
      <vt:variant>
        <vt:lpwstr>_Toc75362836</vt:lpwstr>
      </vt:variant>
      <vt:variant>
        <vt:i4>1638453</vt:i4>
      </vt:variant>
      <vt:variant>
        <vt:i4>80</vt:i4>
      </vt:variant>
      <vt:variant>
        <vt:i4>0</vt:i4>
      </vt:variant>
      <vt:variant>
        <vt:i4>5</vt:i4>
      </vt:variant>
      <vt:variant>
        <vt:lpwstr/>
      </vt:variant>
      <vt:variant>
        <vt:lpwstr>_Toc75362835</vt:lpwstr>
      </vt:variant>
      <vt:variant>
        <vt:i4>1572917</vt:i4>
      </vt:variant>
      <vt:variant>
        <vt:i4>74</vt:i4>
      </vt:variant>
      <vt:variant>
        <vt:i4>0</vt:i4>
      </vt:variant>
      <vt:variant>
        <vt:i4>5</vt:i4>
      </vt:variant>
      <vt:variant>
        <vt:lpwstr/>
      </vt:variant>
      <vt:variant>
        <vt:lpwstr>_Toc75362834</vt:lpwstr>
      </vt:variant>
      <vt:variant>
        <vt:i4>2031669</vt:i4>
      </vt:variant>
      <vt:variant>
        <vt:i4>68</vt:i4>
      </vt:variant>
      <vt:variant>
        <vt:i4>0</vt:i4>
      </vt:variant>
      <vt:variant>
        <vt:i4>5</vt:i4>
      </vt:variant>
      <vt:variant>
        <vt:lpwstr/>
      </vt:variant>
      <vt:variant>
        <vt:lpwstr>_Toc75362833</vt:lpwstr>
      </vt:variant>
      <vt:variant>
        <vt:i4>1966133</vt:i4>
      </vt:variant>
      <vt:variant>
        <vt:i4>62</vt:i4>
      </vt:variant>
      <vt:variant>
        <vt:i4>0</vt:i4>
      </vt:variant>
      <vt:variant>
        <vt:i4>5</vt:i4>
      </vt:variant>
      <vt:variant>
        <vt:lpwstr/>
      </vt:variant>
      <vt:variant>
        <vt:lpwstr>_Toc75362832</vt:lpwstr>
      </vt:variant>
      <vt:variant>
        <vt:i4>1900597</vt:i4>
      </vt:variant>
      <vt:variant>
        <vt:i4>56</vt:i4>
      </vt:variant>
      <vt:variant>
        <vt:i4>0</vt:i4>
      </vt:variant>
      <vt:variant>
        <vt:i4>5</vt:i4>
      </vt:variant>
      <vt:variant>
        <vt:lpwstr/>
      </vt:variant>
      <vt:variant>
        <vt:lpwstr>_Toc75362831</vt:lpwstr>
      </vt:variant>
      <vt:variant>
        <vt:i4>1835061</vt:i4>
      </vt:variant>
      <vt:variant>
        <vt:i4>50</vt:i4>
      </vt:variant>
      <vt:variant>
        <vt:i4>0</vt:i4>
      </vt:variant>
      <vt:variant>
        <vt:i4>5</vt:i4>
      </vt:variant>
      <vt:variant>
        <vt:lpwstr/>
      </vt:variant>
      <vt:variant>
        <vt:lpwstr>_Toc75362830</vt:lpwstr>
      </vt:variant>
      <vt:variant>
        <vt:i4>1376308</vt:i4>
      </vt:variant>
      <vt:variant>
        <vt:i4>44</vt:i4>
      </vt:variant>
      <vt:variant>
        <vt:i4>0</vt:i4>
      </vt:variant>
      <vt:variant>
        <vt:i4>5</vt:i4>
      </vt:variant>
      <vt:variant>
        <vt:lpwstr/>
      </vt:variant>
      <vt:variant>
        <vt:lpwstr>_Toc75362829</vt:lpwstr>
      </vt:variant>
      <vt:variant>
        <vt:i4>1310772</vt:i4>
      </vt:variant>
      <vt:variant>
        <vt:i4>38</vt:i4>
      </vt:variant>
      <vt:variant>
        <vt:i4>0</vt:i4>
      </vt:variant>
      <vt:variant>
        <vt:i4>5</vt:i4>
      </vt:variant>
      <vt:variant>
        <vt:lpwstr/>
      </vt:variant>
      <vt:variant>
        <vt:lpwstr>_Toc75362828</vt:lpwstr>
      </vt:variant>
      <vt:variant>
        <vt:i4>1769524</vt:i4>
      </vt:variant>
      <vt:variant>
        <vt:i4>32</vt:i4>
      </vt:variant>
      <vt:variant>
        <vt:i4>0</vt:i4>
      </vt:variant>
      <vt:variant>
        <vt:i4>5</vt:i4>
      </vt:variant>
      <vt:variant>
        <vt:lpwstr/>
      </vt:variant>
      <vt:variant>
        <vt:lpwstr>_Toc75362827</vt:lpwstr>
      </vt:variant>
      <vt:variant>
        <vt:i4>1703988</vt:i4>
      </vt:variant>
      <vt:variant>
        <vt:i4>26</vt:i4>
      </vt:variant>
      <vt:variant>
        <vt:i4>0</vt:i4>
      </vt:variant>
      <vt:variant>
        <vt:i4>5</vt:i4>
      </vt:variant>
      <vt:variant>
        <vt:lpwstr/>
      </vt:variant>
      <vt:variant>
        <vt:lpwstr>_Toc75362826</vt:lpwstr>
      </vt:variant>
      <vt:variant>
        <vt:i4>1638452</vt:i4>
      </vt:variant>
      <vt:variant>
        <vt:i4>20</vt:i4>
      </vt:variant>
      <vt:variant>
        <vt:i4>0</vt:i4>
      </vt:variant>
      <vt:variant>
        <vt:i4>5</vt:i4>
      </vt:variant>
      <vt:variant>
        <vt:lpwstr/>
      </vt:variant>
      <vt:variant>
        <vt:lpwstr>_Toc75362825</vt:lpwstr>
      </vt:variant>
      <vt:variant>
        <vt:i4>1572916</vt:i4>
      </vt:variant>
      <vt:variant>
        <vt:i4>14</vt:i4>
      </vt:variant>
      <vt:variant>
        <vt:i4>0</vt:i4>
      </vt:variant>
      <vt:variant>
        <vt:i4>5</vt:i4>
      </vt:variant>
      <vt:variant>
        <vt:lpwstr/>
      </vt:variant>
      <vt:variant>
        <vt:lpwstr>_Toc75362824</vt:lpwstr>
      </vt:variant>
      <vt:variant>
        <vt:i4>2031668</vt:i4>
      </vt:variant>
      <vt:variant>
        <vt:i4>8</vt:i4>
      </vt:variant>
      <vt:variant>
        <vt:i4>0</vt:i4>
      </vt:variant>
      <vt:variant>
        <vt:i4>5</vt:i4>
      </vt:variant>
      <vt:variant>
        <vt:lpwstr/>
      </vt:variant>
      <vt:variant>
        <vt:lpwstr>_Toc75362823</vt:lpwstr>
      </vt:variant>
      <vt:variant>
        <vt:i4>1966132</vt:i4>
      </vt:variant>
      <vt:variant>
        <vt:i4>2</vt:i4>
      </vt:variant>
      <vt:variant>
        <vt:i4>0</vt:i4>
      </vt:variant>
      <vt:variant>
        <vt:i4>5</vt:i4>
      </vt:variant>
      <vt:variant>
        <vt:lpwstr/>
      </vt:variant>
      <vt:variant>
        <vt:lpwstr>_Toc75362822</vt:lpwstr>
      </vt:variant>
      <vt:variant>
        <vt:i4>4456453</vt:i4>
      </vt:variant>
      <vt:variant>
        <vt:i4>0</vt:i4>
      </vt:variant>
      <vt:variant>
        <vt:i4>0</vt:i4>
      </vt:variant>
      <vt:variant>
        <vt:i4>5</vt:i4>
      </vt:variant>
      <vt:variant>
        <vt:lpwstr>https://www.infrastructure.gov.au/sites/default/files/australian-government-intellectual-property-manual.pdf</vt:lpwstr>
      </vt:variant>
      <vt:variant>
        <vt:lpwstr/>
      </vt:variant>
      <vt:variant>
        <vt:i4>6422541</vt:i4>
      </vt:variant>
      <vt:variant>
        <vt:i4>6</vt:i4>
      </vt:variant>
      <vt:variant>
        <vt:i4>0</vt:i4>
      </vt:variant>
      <vt:variant>
        <vt:i4>5</vt:i4>
      </vt:variant>
      <vt:variant>
        <vt:lpwstr>mailto:Sophie.Broughton@health.vic.gov.au</vt:lpwstr>
      </vt:variant>
      <vt:variant>
        <vt:lpwstr/>
      </vt:variant>
      <vt:variant>
        <vt:i4>4718625</vt:i4>
      </vt:variant>
      <vt:variant>
        <vt:i4>3</vt:i4>
      </vt:variant>
      <vt:variant>
        <vt:i4>0</vt:i4>
      </vt:variant>
      <vt:variant>
        <vt:i4>5</vt:i4>
      </vt:variant>
      <vt:variant>
        <vt:lpwstr>mailto:Anupa.Ranchhod@health.vic.gov.au</vt:lpwstr>
      </vt:variant>
      <vt:variant>
        <vt:lpwstr/>
      </vt:variant>
      <vt:variant>
        <vt:i4>5046323</vt:i4>
      </vt:variant>
      <vt:variant>
        <vt:i4>0</vt:i4>
      </vt:variant>
      <vt:variant>
        <vt:i4>0</vt:i4>
      </vt:variant>
      <vt:variant>
        <vt:i4>5</vt:i4>
      </vt:variant>
      <vt:variant>
        <vt:lpwstr>https://www.stylemanual.gov.au/structuring-content/lists</vt:lpwstr>
      </vt:variant>
      <vt:variant>
        <vt:lpwstr>write_numbered_lists_if_the_order_is_critical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Cancer Agency funding rules</dc:title>
  <dc:subject/>
  <dc:creator>Cluny Lascaris (DHHS)</dc:creator>
  <cp:keywords/>
  <cp:lastModifiedBy>Dayna Swiatek (Health)</cp:lastModifiedBy>
  <cp:revision>108</cp:revision>
  <cp:lastPrinted>2019-07-16T05:45:00Z</cp:lastPrinted>
  <dcterms:created xsi:type="dcterms:W3CDTF">2023-02-17T22:58:00Z</dcterms:created>
  <dcterms:modified xsi:type="dcterms:W3CDTF">2023-06-06T05:40:00Z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SIP_Label_43e64453-338c-4f93-8a4d-0039a0a41f2a_Enabled">
    <vt:lpwstr>true</vt:lpwstr>
  </property>
  <property fmtid="{D5CDD505-2E9C-101B-9397-08002B2CF9AE}" pid="5" name="MSIP_Label_43e64453-338c-4f93-8a4d-0039a0a41f2a_SetDate">
    <vt:lpwstr>2023-02-17T03:58:54Z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e61df2c4-d9ee-4e69-a1af-2d57b146be7d</vt:lpwstr>
  </property>
  <property fmtid="{D5CDD505-2E9C-101B-9397-08002B2CF9AE}" pid="10" name="MSIP_Label_43e64453-338c-4f93-8a4d-0039a0a41f2a_ContentBits">
    <vt:lpwstr>2</vt:lpwstr>
  </property>
  <property fmtid="{D5CDD505-2E9C-101B-9397-08002B2CF9AE}" pid="11" name="MediaServiceImageTags">
    <vt:lpwstr/>
  </property>
</Properties>
</file>